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6D3" w:rsidRDefault="007E36D3" w:rsidP="007E36D3">
      <w:pPr>
        <w:rPr>
          <w:rFonts w:ascii="標楷體" w:eastAsia="標楷體" w:hAnsi="標楷體"/>
          <w:sz w:val="40"/>
          <w:szCs w:val="28"/>
        </w:rPr>
      </w:pPr>
      <w:bookmarkStart w:id="0" w:name="_GoBack"/>
      <w:bookmarkEnd w:id="0"/>
      <w:r>
        <w:rPr>
          <w:rFonts w:ascii="標楷體" w:eastAsia="標楷體" w:hAnsi="標楷體" w:hint="eastAsia"/>
          <w:sz w:val="40"/>
          <w:szCs w:val="28"/>
        </w:rPr>
        <w:t>臺中市政府建設局及所屬機關辦理公共工程設計階段審議機制作業規定</w:t>
      </w:r>
    </w:p>
    <w:p w:rsidR="007E36D3" w:rsidRDefault="007E36D3" w:rsidP="007E36D3">
      <w:pPr>
        <w:jc w:val="right"/>
        <w:rPr>
          <w:rFonts w:ascii="標楷體" w:eastAsia="標楷體" w:hAnsi="標楷體"/>
          <w:sz w:val="20"/>
          <w:szCs w:val="14"/>
        </w:rPr>
      </w:pPr>
      <w:r w:rsidRPr="007E36D3">
        <w:rPr>
          <w:rFonts w:ascii="標楷體" w:eastAsia="標楷體" w:hAnsi="標楷體" w:hint="eastAsia"/>
          <w:sz w:val="20"/>
          <w:szCs w:val="14"/>
        </w:rPr>
        <w:t>中華民國10</w:t>
      </w:r>
      <w:r>
        <w:rPr>
          <w:rFonts w:ascii="標楷體" w:eastAsia="標楷體" w:hAnsi="標楷體" w:hint="eastAsia"/>
          <w:sz w:val="20"/>
          <w:szCs w:val="14"/>
        </w:rPr>
        <w:t>4</w:t>
      </w:r>
      <w:r w:rsidRPr="007E36D3">
        <w:rPr>
          <w:rFonts w:ascii="標楷體" w:eastAsia="標楷體" w:hAnsi="標楷體" w:hint="eastAsia"/>
          <w:sz w:val="20"/>
          <w:szCs w:val="14"/>
        </w:rPr>
        <w:t>年</w:t>
      </w:r>
      <w:r>
        <w:rPr>
          <w:rFonts w:ascii="標楷體" w:eastAsia="標楷體" w:hAnsi="標楷體" w:hint="eastAsia"/>
          <w:sz w:val="20"/>
          <w:szCs w:val="14"/>
        </w:rPr>
        <w:t>5</w:t>
      </w:r>
      <w:r w:rsidRPr="007E36D3">
        <w:rPr>
          <w:rFonts w:ascii="標楷體" w:eastAsia="標楷體" w:hAnsi="標楷體" w:hint="eastAsia"/>
          <w:sz w:val="20"/>
          <w:szCs w:val="14"/>
        </w:rPr>
        <w:t>月</w:t>
      </w:r>
      <w:r>
        <w:rPr>
          <w:rFonts w:ascii="標楷體" w:eastAsia="標楷體" w:hAnsi="標楷體" w:hint="eastAsia"/>
          <w:sz w:val="20"/>
          <w:szCs w:val="14"/>
        </w:rPr>
        <w:t>11</w:t>
      </w:r>
      <w:r w:rsidRPr="007E36D3">
        <w:rPr>
          <w:rFonts w:ascii="標楷體" w:eastAsia="標楷體" w:hAnsi="標楷體" w:hint="eastAsia"/>
          <w:sz w:val="20"/>
          <w:szCs w:val="14"/>
        </w:rPr>
        <w:t>日中市建品字第1040055749號</w:t>
      </w:r>
      <w:r>
        <w:rPr>
          <w:rFonts w:ascii="標楷體" w:eastAsia="標楷體" w:hAnsi="標楷體" w:hint="eastAsia"/>
          <w:sz w:val="20"/>
          <w:szCs w:val="14"/>
        </w:rPr>
        <w:t>函訂定</w:t>
      </w:r>
    </w:p>
    <w:p w:rsidR="007E36D3" w:rsidRPr="007E36D3" w:rsidRDefault="007E36D3" w:rsidP="00823280">
      <w:pPr>
        <w:wordWrap w:val="0"/>
        <w:jc w:val="right"/>
        <w:rPr>
          <w:rFonts w:ascii="標楷體" w:eastAsia="標楷體" w:hAnsi="標楷體"/>
          <w:sz w:val="20"/>
          <w:szCs w:val="14"/>
        </w:rPr>
      </w:pPr>
      <w:r w:rsidRPr="007E36D3">
        <w:rPr>
          <w:rFonts w:ascii="標楷體" w:eastAsia="標楷體" w:hAnsi="標楷體" w:hint="eastAsia"/>
          <w:sz w:val="20"/>
          <w:szCs w:val="14"/>
        </w:rPr>
        <w:t>中華民國10</w:t>
      </w:r>
      <w:r>
        <w:rPr>
          <w:rFonts w:ascii="標楷體" w:eastAsia="標楷體" w:hAnsi="標楷體" w:hint="eastAsia"/>
          <w:sz w:val="20"/>
          <w:szCs w:val="14"/>
        </w:rPr>
        <w:t>8</w:t>
      </w:r>
      <w:r w:rsidRPr="007E36D3">
        <w:rPr>
          <w:rFonts w:ascii="標楷體" w:eastAsia="標楷體" w:hAnsi="標楷體" w:hint="eastAsia"/>
          <w:sz w:val="20"/>
          <w:szCs w:val="14"/>
        </w:rPr>
        <w:t>年</w:t>
      </w:r>
      <w:r w:rsidR="00823280">
        <w:rPr>
          <w:rFonts w:ascii="標楷體" w:eastAsia="標楷體" w:hAnsi="標楷體"/>
          <w:sz w:val="20"/>
          <w:szCs w:val="14"/>
        </w:rPr>
        <w:t>12</w:t>
      </w:r>
      <w:r w:rsidRPr="007E36D3">
        <w:rPr>
          <w:rFonts w:ascii="標楷體" w:eastAsia="標楷體" w:hAnsi="標楷體" w:hint="eastAsia"/>
          <w:sz w:val="20"/>
          <w:szCs w:val="14"/>
        </w:rPr>
        <w:t>月</w:t>
      </w:r>
      <w:r w:rsidR="00823280">
        <w:rPr>
          <w:rFonts w:ascii="標楷體" w:eastAsia="標楷體" w:hAnsi="標楷體"/>
          <w:sz w:val="20"/>
          <w:szCs w:val="14"/>
        </w:rPr>
        <w:t>5</w:t>
      </w:r>
      <w:r w:rsidRPr="007E36D3">
        <w:rPr>
          <w:rFonts w:ascii="標楷體" w:eastAsia="標楷體" w:hAnsi="標楷體" w:hint="eastAsia"/>
          <w:sz w:val="20"/>
          <w:szCs w:val="14"/>
        </w:rPr>
        <w:t>日中市建</w:t>
      </w:r>
      <w:r w:rsidR="00823280">
        <w:rPr>
          <w:rFonts w:ascii="標楷體" w:eastAsia="標楷體" w:hAnsi="標楷體" w:hint="eastAsia"/>
          <w:sz w:val="20"/>
          <w:szCs w:val="14"/>
        </w:rPr>
        <w:t>品</w:t>
      </w:r>
      <w:r w:rsidRPr="007E36D3">
        <w:rPr>
          <w:rFonts w:ascii="標楷體" w:eastAsia="標楷體" w:hAnsi="標楷體" w:hint="eastAsia"/>
          <w:sz w:val="20"/>
          <w:szCs w:val="14"/>
        </w:rPr>
        <w:t>字</w:t>
      </w:r>
      <w:r w:rsidR="00934C3F" w:rsidRPr="00934C3F">
        <w:rPr>
          <w:rFonts w:ascii="標楷體" w:eastAsia="標楷體" w:hAnsi="標楷體" w:hint="eastAsia"/>
          <w:sz w:val="20"/>
          <w:szCs w:val="14"/>
        </w:rPr>
        <w:t>第1080054551號</w:t>
      </w:r>
      <w:r>
        <w:rPr>
          <w:rFonts w:ascii="標楷體" w:eastAsia="標楷體" w:hAnsi="標楷體" w:hint="eastAsia"/>
          <w:sz w:val="20"/>
          <w:szCs w:val="14"/>
        </w:rPr>
        <w:t>函修正</w:t>
      </w:r>
    </w:p>
    <w:p w:rsidR="007E36D3" w:rsidRDefault="007E36D3" w:rsidP="007E36D3">
      <w:pPr>
        <w:pStyle w:val="a3"/>
        <w:numPr>
          <w:ilvl w:val="0"/>
          <w:numId w:val="30"/>
        </w:numPr>
        <w:adjustRightInd w:val="0"/>
        <w:snapToGrid w:val="0"/>
        <w:spacing w:line="460" w:lineRule="exact"/>
        <w:ind w:leftChars="0" w:left="567" w:hanging="567"/>
        <w:jc w:val="both"/>
        <w:rPr>
          <w:rFonts w:ascii="標楷體" w:eastAsia="標楷體" w:hAnsi="標楷體"/>
          <w:sz w:val="28"/>
          <w:szCs w:val="24"/>
        </w:rPr>
      </w:pPr>
      <w:r>
        <w:rPr>
          <w:rFonts w:ascii="Times New Roman" w:eastAsia="標楷體" w:hAnsi="標楷體" w:cs="Times New Roman" w:hint="eastAsia"/>
          <w:sz w:val="28"/>
          <w:szCs w:val="24"/>
        </w:rPr>
        <w:t>臺中市政府建設局</w:t>
      </w:r>
      <w:r>
        <w:rPr>
          <w:rFonts w:ascii="Times New Roman" w:eastAsia="標楷體" w:hAnsi="Times New Roman" w:cs="Times New Roman"/>
          <w:sz w:val="28"/>
          <w:szCs w:val="24"/>
        </w:rPr>
        <w:t xml:space="preserve"> (</w:t>
      </w:r>
      <w:r>
        <w:rPr>
          <w:rFonts w:ascii="Times New Roman" w:eastAsia="標楷體" w:hAnsi="標楷體" w:cs="Times New Roman" w:hint="eastAsia"/>
          <w:sz w:val="28"/>
          <w:szCs w:val="24"/>
        </w:rPr>
        <w:t>以下簡稱本局</w:t>
      </w:r>
      <w:r>
        <w:rPr>
          <w:rFonts w:ascii="Times New Roman" w:eastAsia="標楷體" w:hAnsi="Times New Roman" w:cs="Times New Roman"/>
          <w:sz w:val="28"/>
          <w:szCs w:val="24"/>
        </w:rPr>
        <w:t>)</w:t>
      </w:r>
      <w:r w:rsidRPr="007E36D3">
        <w:rPr>
          <w:rFonts w:ascii="Times New Roman" w:eastAsia="標楷體" w:hAnsi="標楷體" w:cs="Times New Roman" w:hint="eastAsia"/>
          <w:sz w:val="28"/>
          <w:szCs w:val="24"/>
        </w:rPr>
        <w:t xml:space="preserve"> </w:t>
      </w:r>
      <w:r w:rsidRPr="007E36D3">
        <w:rPr>
          <w:rFonts w:ascii="Times New Roman" w:eastAsia="標楷體" w:hAnsi="標楷體" w:cs="Times New Roman" w:hint="eastAsia"/>
          <w:color w:val="FF0000"/>
          <w:sz w:val="28"/>
          <w:szCs w:val="24"/>
        </w:rPr>
        <w:t>及所屬機關</w:t>
      </w:r>
      <w:r>
        <w:rPr>
          <w:rFonts w:ascii="Times New Roman" w:eastAsia="標楷體" w:hAnsi="標楷體" w:cs="Times New Roman" w:hint="eastAsia"/>
          <w:sz w:val="28"/>
          <w:szCs w:val="24"/>
        </w:rPr>
        <w:t>為提升公共工程設計品質，落實規劃設計審議機制，洽由具有工程專業背景之專家學者，辦理公共工程設計成果之審議作業，以強化公共工程設計審議程序，避免設計不當，並提升效率，特訂定本規定。</w:t>
      </w:r>
    </w:p>
    <w:p w:rsidR="007E36D3" w:rsidRDefault="007E36D3" w:rsidP="007E36D3">
      <w:pPr>
        <w:pStyle w:val="a3"/>
        <w:numPr>
          <w:ilvl w:val="0"/>
          <w:numId w:val="30"/>
        </w:numPr>
        <w:snapToGrid w:val="0"/>
        <w:spacing w:line="460" w:lineRule="exact"/>
        <w:ind w:leftChars="0" w:left="567" w:hanging="567"/>
        <w:jc w:val="both"/>
        <w:rPr>
          <w:rFonts w:ascii="標楷體" w:eastAsia="標楷體" w:hAnsi="標楷體"/>
          <w:sz w:val="28"/>
          <w:szCs w:val="24"/>
        </w:rPr>
      </w:pPr>
      <w:r>
        <w:rPr>
          <w:rFonts w:ascii="標楷體" w:eastAsia="標楷體" w:hAnsi="標楷體" w:hint="eastAsia"/>
          <w:sz w:val="28"/>
          <w:szCs w:val="24"/>
        </w:rPr>
        <w:t>本局</w:t>
      </w:r>
      <w:r w:rsidRPr="007E36D3">
        <w:rPr>
          <w:rFonts w:ascii="Times New Roman" w:eastAsia="標楷體" w:hAnsi="標楷體" w:cs="Times New Roman" w:hint="eastAsia"/>
          <w:color w:val="FF0000"/>
          <w:sz w:val="28"/>
          <w:szCs w:val="24"/>
        </w:rPr>
        <w:t>及所屬機關</w:t>
      </w:r>
      <w:r>
        <w:rPr>
          <w:rFonts w:ascii="標楷體" w:eastAsia="標楷體" w:hAnsi="標楷體" w:hint="eastAsia"/>
          <w:sz w:val="28"/>
          <w:szCs w:val="24"/>
        </w:rPr>
        <w:t>新臺幣(以下同)五千萬元以上之工程：</w:t>
      </w:r>
    </w:p>
    <w:p w:rsidR="007E36D3" w:rsidRPr="007E36D3" w:rsidRDefault="007E36D3" w:rsidP="007E36D3">
      <w:pPr>
        <w:pStyle w:val="a3"/>
        <w:numPr>
          <w:ilvl w:val="0"/>
          <w:numId w:val="31"/>
        </w:numPr>
        <w:snapToGrid w:val="0"/>
        <w:spacing w:line="460" w:lineRule="exact"/>
        <w:ind w:leftChars="0" w:left="1134" w:hanging="567"/>
        <w:jc w:val="both"/>
        <w:rPr>
          <w:rFonts w:ascii="標楷體" w:eastAsia="標楷體" w:hAnsi="標楷體"/>
          <w:sz w:val="28"/>
          <w:szCs w:val="28"/>
        </w:rPr>
      </w:pPr>
      <w:r w:rsidRPr="007E36D3">
        <w:rPr>
          <w:rFonts w:ascii="標楷體" w:eastAsia="標楷體" w:hAnsi="標楷體" w:hint="eastAsia"/>
          <w:color w:val="FF0000"/>
          <w:sz w:val="28"/>
          <w:szCs w:val="28"/>
        </w:rPr>
        <w:t>工程主辦單位應簽辦組成個案審議小組，並依臺中市政府各機關學校辦理公共工程基本設計審議作業規定辦理</w:t>
      </w:r>
      <w:r w:rsidR="00823280">
        <w:rPr>
          <w:rFonts w:ascii="標楷體" w:eastAsia="標楷體" w:hAnsi="標楷體" w:hint="eastAsia"/>
          <w:color w:val="FF0000"/>
          <w:sz w:val="28"/>
          <w:szCs w:val="28"/>
        </w:rPr>
        <w:t>基</w:t>
      </w:r>
      <w:r w:rsidR="00823280">
        <w:rPr>
          <w:rFonts w:ascii="標楷體" w:eastAsia="標楷體" w:hAnsi="標楷體"/>
          <w:color w:val="FF0000"/>
          <w:sz w:val="28"/>
          <w:szCs w:val="28"/>
        </w:rPr>
        <w:t>本設計</w:t>
      </w:r>
      <w:r w:rsidRPr="007E36D3">
        <w:rPr>
          <w:rFonts w:ascii="標楷體" w:eastAsia="標楷體" w:hAnsi="標楷體" w:hint="eastAsia"/>
          <w:color w:val="FF0000"/>
          <w:sz w:val="28"/>
          <w:szCs w:val="28"/>
        </w:rPr>
        <w:t>審議。</w:t>
      </w:r>
    </w:p>
    <w:p w:rsidR="007E36D3" w:rsidRPr="007E36D3" w:rsidRDefault="007E36D3" w:rsidP="007E36D3">
      <w:pPr>
        <w:pStyle w:val="a3"/>
        <w:numPr>
          <w:ilvl w:val="0"/>
          <w:numId w:val="31"/>
        </w:numPr>
        <w:snapToGrid w:val="0"/>
        <w:spacing w:line="460" w:lineRule="exact"/>
        <w:ind w:leftChars="0" w:left="1134" w:hanging="567"/>
        <w:jc w:val="both"/>
        <w:rPr>
          <w:rFonts w:ascii="標楷體" w:eastAsia="標楷體" w:hAnsi="標楷體"/>
          <w:sz w:val="28"/>
          <w:szCs w:val="28"/>
        </w:rPr>
      </w:pPr>
      <w:r w:rsidRPr="007E36D3">
        <w:rPr>
          <w:rFonts w:ascii="標楷體" w:eastAsia="標楷體" w:hAnsi="標楷體" w:hint="eastAsia"/>
          <w:sz w:val="28"/>
          <w:szCs w:val="28"/>
        </w:rPr>
        <w:t>工程主辦單位於完成細部設計後之各設計階段(依契約規定)，應簽辦組成個案審議小組，並簽請指派本局</w:t>
      </w:r>
      <w:r w:rsidR="00DD414A" w:rsidRPr="00A84544">
        <w:rPr>
          <w:rFonts w:ascii="標楷體" w:eastAsia="標楷體" w:hAnsi="標楷體" w:hint="eastAsia"/>
          <w:color w:val="FF0000"/>
          <w:sz w:val="28"/>
          <w:szCs w:val="28"/>
        </w:rPr>
        <w:t>及所屬機關</w:t>
      </w:r>
      <w:r w:rsidRPr="007E36D3">
        <w:rPr>
          <w:rFonts w:ascii="標楷體" w:eastAsia="標楷體" w:hAnsi="標楷體" w:hint="eastAsia"/>
          <w:sz w:val="28"/>
          <w:szCs w:val="28"/>
        </w:rPr>
        <w:t>簡任層級以上人員擔任個案審議小組召集人，審議小組得依工程性質及介面複雜性設委員三至五人，外聘之專家人數不得少於二分之一。</w:t>
      </w:r>
    </w:p>
    <w:p w:rsidR="007E36D3" w:rsidRPr="007E36D3" w:rsidRDefault="007E36D3" w:rsidP="007E36D3">
      <w:pPr>
        <w:pStyle w:val="a3"/>
        <w:numPr>
          <w:ilvl w:val="0"/>
          <w:numId w:val="31"/>
        </w:numPr>
        <w:snapToGrid w:val="0"/>
        <w:spacing w:line="460" w:lineRule="exact"/>
        <w:ind w:leftChars="0" w:left="1134" w:hanging="567"/>
        <w:jc w:val="both"/>
        <w:rPr>
          <w:rFonts w:ascii="標楷體" w:eastAsia="標楷體" w:hAnsi="標楷體"/>
          <w:sz w:val="28"/>
          <w:szCs w:val="28"/>
        </w:rPr>
      </w:pPr>
      <w:r w:rsidRPr="007E36D3">
        <w:rPr>
          <w:rFonts w:ascii="標楷體" w:eastAsia="標楷體" w:hAnsi="標楷體" w:hint="eastAsia"/>
          <w:color w:val="FF0000"/>
          <w:sz w:val="28"/>
          <w:szCs w:val="28"/>
        </w:rPr>
        <w:t>前款</w:t>
      </w:r>
      <w:r w:rsidRPr="007E36D3">
        <w:rPr>
          <w:rFonts w:ascii="標楷體" w:eastAsia="標楷體" w:hAnsi="標楷體" w:hint="eastAsia"/>
          <w:sz w:val="28"/>
          <w:szCs w:val="28"/>
        </w:rPr>
        <w:t>外聘委員由行政院公共工程委員會建置之專家名單或其他第三公正單位專家、學者遴聘；</w:t>
      </w:r>
      <w:r w:rsidRPr="00605C94">
        <w:rPr>
          <w:rFonts w:ascii="標楷體" w:eastAsia="標楷體" w:hAnsi="標楷體" w:hint="eastAsia"/>
          <w:color w:val="FF0000"/>
          <w:sz w:val="28"/>
          <w:szCs w:val="28"/>
        </w:rPr>
        <w:t>內</w:t>
      </w:r>
      <w:r w:rsidR="00913B70" w:rsidRPr="00605C94">
        <w:rPr>
          <w:rFonts w:ascii="標楷體" w:eastAsia="標楷體" w:hAnsi="標楷體" w:hint="eastAsia"/>
          <w:color w:val="FF0000"/>
          <w:sz w:val="28"/>
          <w:szCs w:val="28"/>
        </w:rPr>
        <w:t>派</w:t>
      </w:r>
      <w:r w:rsidRPr="007E36D3">
        <w:rPr>
          <w:rFonts w:ascii="標楷體" w:eastAsia="標楷體" w:hAnsi="標楷體" w:hint="eastAsia"/>
          <w:sz w:val="28"/>
          <w:szCs w:val="28"/>
        </w:rPr>
        <w:t>委員由本局</w:t>
      </w:r>
      <w:r w:rsidR="00A84544" w:rsidRPr="00A84544">
        <w:rPr>
          <w:rFonts w:ascii="標楷體" w:eastAsia="標楷體" w:hAnsi="標楷體" w:hint="eastAsia"/>
          <w:color w:val="FF0000"/>
          <w:sz w:val="28"/>
          <w:szCs w:val="28"/>
        </w:rPr>
        <w:t>及所屬機關</w:t>
      </w:r>
      <w:r w:rsidRPr="007E36D3">
        <w:rPr>
          <w:rFonts w:ascii="標楷體" w:eastAsia="標楷體" w:hAnsi="標楷體" w:hint="eastAsia"/>
          <w:sz w:val="28"/>
          <w:szCs w:val="28"/>
        </w:rPr>
        <w:t>股長以上層級人員擔任。</w:t>
      </w:r>
    </w:p>
    <w:p w:rsidR="007E36D3" w:rsidRPr="007E36D3" w:rsidRDefault="007E36D3" w:rsidP="007E36D3">
      <w:pPr>
        <w:pStyle w:val="a3"/>
        <w:numPr>
          <w:ilvl w:val="0"/>
          <w:numId w:val="31"/>
        </w:numPr>
        <w:snapToGrid w:val="0"/>
        <w:spacing w:line="460" w:lineRule="exact"/>
        <w:ind w:leftChars="0" w:left="1134" w:hanging="567"/>
        <w:jc w:val="both"/>
        <w:rPr>
          <w:rFonts w:ascii="標楷體" w:eastAsia="標楷體" w:hAnsi="標楷體"/>
          <w:sz w:val="28"/>
          <w:szCs w:val="28"/>
        </w:rPr>
      </w:pPr>
      <w:r w:rsidRPr="007E36D3">
        <w:rPr>
          <w:rFonts w:ascii="標楷體" w:eastAsia="標楷體" w:hAnsi="標楷體" w:hint="eastAsia"/>
          <w:sz w:val="28"/>
          <w:szCs w:val="28"/>
        </w:rPr>
        <w:t>如屬例行性維修養護、施工項目簡易或緊急災害搶救修復等工程，由工程主辦單位簽奉</w:t>
      </w:r>
      <w:r>
        <w:rPr>
          <w:rFonts w:ascii="標楷體" w:eastAsia="標楷體" w:hAnsi="標楷體" w:hint="eastAsia"/>
          <w:color w:val="FF0000"/>
          <w:sz w:val="28"/>
          <w:szCs w:val="28"/>
        </w:rPr>
        <w:t>機關首長</w:t>
      </w:r>
      <w:r w:rsidRPr="007E36D3">
        <w:rPr>
          <w:rFonts w:ascii="標楷體" w:eastAsia="標楷體" w:hAnsi="標楷體" w:hint="eastAsia"/>
          <w:sz w:val="28"/>
          <w:szCs w:val="28"/>
        </w:rPr>
        <w:t>核准，</w:t>
      </w:r>
      <w:r w:rsidRPr="007E36D3">
        <w:rPr>
          <w:rFonts w:ascii="標楷體" w:eastAsia="標楷體" w:hAnsi="標楷體" w:hint="eastAsia"/>
          <w:color w:val="FF0000"/>
          <w:sz w:val="28"/>
          <w:szCs w:val="28"/>
        </w:rPr>
        <w:t>得依案件特性自行依契約規定辦理審議。</w:t>
      </w:r>
    </w:p>
    <w:p w:rsidR="007E36D3" w:rsidRDefault="007E36D3" w:rsidP="007E36D3">
      <w:pPr>
        <w:pStyle w:val="a3"/>
        <w:numPr>
          <w:ilvl w:val="0"/>
          <w:numId w:val="30"/>
        </w:numPr>
        <w:snapToGrid w:val="0"/>
        <w:spacing w:line="460" w:lineRule="exact"/>
        <w:ind w:leftChars="0" w:left="567" w:hanging="567"/>
        <w:jc w:val="both"/>
        <w:rPr>
          <w:rFonts w:ascii="標楷體" w:eastAsia="標楷體" w:hAnsi="標楷體"/>
          <w:sz w:val="28"/>
          <w:szCs w:val="24"/>
        </w:rPr>
      </w:pPr>
      <w:r>
        <w:rPr>
          <w:rFonts w:ascii="標楷體" w:eastAsia="標楷體" w:hAnsi="標楷體" w:hint="eastAsia"/>
          <w:sz w:val="28"/>
          <w:szCs w:val="24"/>
        </w:rPr>
        <w:t>本局</w:t>
      </w:r>
      <w:r w:rsidRPr="007E36D3">
        <w:rPr>
          <w:rFonts w:ascii="Times New Roman" w:eastAsia="標楷體" w:hAnsi="標楷體" w:cs="Times New Roman" w:hint="eastAsia"/>
          <w:color w:val="FF0000"/>
          <w:sz w:val="28"/>
          <w:szCs w:val="24"/>
        </w:rPr>
        <w:t>及所屬機關</w:t>
      </w:r>
      <w:r>
        <w:rPr>
          <w:rFonts w:ascii="標楷體" w:eastAsia="標楷體" w:hAnsi="標楷體" w:hint="eastAsia"/>
          <w:sz w:val="28"/>
          <w:szCs w:val="24"/>
        </w:rPr>
        <w:t>未達五千萬元之工程，由</w:t>
      </w:r>
      <w:r>
        <w:rPr>
          <w:rFonts w:ascii="標楷體" w:eastAsia="標楷體" w:hAnsi="標楷體" w:hint="eastAsia"/>
          <w:sz w:val="28"/>
        </w:rPr>
        <w:t>工程主辦單位依工程個案性質簽辦審查機制並逕行負責審議作業，</w:t>
      </w:r>
      <w:r>
        <w:rPr>
          <w:rFonts w:ascii="標楷體" w:eastAsia="標楷體" w:hAnsi="標楷體" w:hint="eastAsia"/>
          <w:sz w:val="28"/>
          <w:szCs w:val="24"/>
        </w:rPr>
        <w:t>審議機制原則如下：</w:t>
      </w:r>
    </w:p>
    <w:p w:rsidR="007E36D3" w:rsidRDefault="007E36D3" w:rsidP="007E36D3">
      <w:pPr>
        <w:pStyle w:val="a3"/>
        <w:numPr>
          <w:ilvl w:val="0"/>
          <w:numId w:val="32"/>
        </w:numPr>
        <w:snapToGrid w:val="0"/>
        <w:spacing w:line="460" w:lineRule="exact"/>
        <w:ind w:leftChars="0" w:left="879" w:hanging="482"/>
        <w:jc w:val="both"/>
        <w:rPr>
          <w:rFonts w:ascii="標楷體" w:eastAsia="標楷體" w:hAnsi="標楷體"/>
          <w:sz w:val="28"/>
          <w:szCs w:val="24"/>
        </w:rPr>
      </w:pPr>
      <w:r>
        <w:rPr>
          <w:rFonts w:ascii="標楷體" w:eastAsia="標楷體" w:hAnsi="標楷體" w:hint="eastAsia"/>
          <w:sz w:val="28"/>
        </w:rPr>
        <w:t>二千萬元以上未達五千萬元之工程設計案：</w:t>
      </w:r>
    </w:p>
    <w:p w:rsidR="007E36D3" w:rsidRDefault="007E36D3" w:rsidP="007E36D3">
      <w:pPr>
        <w:pStyle w:val="a3"/>
        <w:numPr>
          <w:ilvl w:val="0"/>
          <w:numId w:val="33"/>
        </w:numPr>
        <w:snapToGrid w:val="0"/>
        <w:spacing w:line="460" w:lineRule="exact"/>
        <w:ind w:leftChars="0"/>
        <w:jc w:val="both"/>
        <w:rPr>
          <w:rFonts w:ascii="標楷體" w:eastAsia="標楷體" w:hAnsi="標楷體"/>
          <w:sz w:val="28"/>
          <w:szCs w:val="24"/>
        </w:rPr>
      </w:pPr>
      <w:r>
        <w:rPr>
          <w:rFonts w:ascii="標楷體" w:eastAsia="標楷體" w:hAnsi="標楷體" w:hint="eastAsia"/>
          <w:sz w:val="28"/>
        </w:rPr>
        <w:t>工程主辦單位於完成工程設計(基本設計及細部設計)，應簽辦組成個案審議小組，並簽請指派本局</w:t>
      </w:r>
      <w:r w:rsidR="00A84544" w:rsidRPr="00A84544">
        <w:rPr>
          <w:rFonts w:ascii="標楷體" w:eastAsia="標楷體" w:hAnsi="標楷體" w:hint="eastAsia"/>
          <w:color w:val="FF0000"/>
          <w:sz w:val="28"/>
        </w:rPr>
        <w:t>及所屬機關</w:t>
      </w:r>
      <w:r>
        <w:rPr>
          <w:rFonts w:ascii="標楷體" w:eastAsia="標楷體" w:hAnsi="標楷體" w:hint="eastAsia"/>
          <w:sz w:val="28"/>
        </w:rPr>
        <w:t>簡任層級以上人員擔任個案審議小組召集人，審議小組得依工程性質及介面複雜性設委員三至五人，外聘之專家人數不得少於二分之一。</w:t>
      </w:r>
    </w:p>
    <w:p w:rsidR="007E36D3" w:rsidRDefault="001C0DE0" w:rsidP="007E36D3">
      <w:pPr>
        <w:pStyle w:val="a3"/>
        <w:numPr>
          <w:ilvl w:val="0"/>
          <w:numId w:val="33"/>
        </w:numPr>
        <w:snapToGrid w:val="0"/>
        <w:spacing w:line="460" w:lineRule="exact"/>
        <w:ind w:leftChars="0"/>
        <w:jc w:val="both"/>
        <w:rPr>
          <w:rFonts w:ascii="標楷體" w:eastAsia="標楷體" w:hAnsi="標楷體"/>
          <w:sz w:val="28"/>
          <w:szCs w:val="24"/>
        </w:rPr>
      </w:pPr>
      <w:r w:rsidRPr="007E36D3">
        <w:rPr>
          <w:rFonts w:ascii="標楷體" w:eastAsia="標楷體" w:hAnsi="標楷體" w:hint="eastAsia"/>
          <w:color w:val="FF0000"/>
          <w:sz w:val="28"/>
          <w:szCs w:val="28"/>
        </w:rPr>
        <w:lastRenderedPageBreak/>
        <w:t>前款</w:t>
      </w:r>
      <w:r w:rsidR="007E36D3">
        <w:rPr>
          <w:rFonts w:ascii="Times New Roman" w:eastAsia="標楷體" w:hAnsi="標楷體" w:hint="eastAsia"/>
          <w:sz w:val="28"/>
        </w:rPr>
        <w:t>外聘委員由行政院公共工程委員會建置之專家名單或其他第三公正單位專家、學者遴聘；</w:t>
      </w:r>
      <w:r w:rsidR="007E36D3" w:rsidRPr="00605C94">
        <w:rPr>
          <w:rFonts w:ascii="Times New Roman" w:eastAsia="標楷體" w:hAnsi="標楷體" w:hint="eastAsia"/>
          <w:color w:val="FF0000"/>
          <w:sz w:val="28"/>
        </w:rPr>
        <w:t>內</w:t>
      </w:r>
      <w:r w:rsidR="00913B70" w:rsidRPr="00605C94">
        <w:rPr>
          <w:rFonts w:ascii="Times New Roman" w:eastAsia="標楷體" w:hAnsi="標楷體" w:hint="eastAsia"/>
          <w:color w:val="FF0000"/>
          <w:sz w:val="28"/>
        </w:rPr>
        <w:t>派</w:t>
      </w:r>
      <w:r w:rsidR="007E36D3">
        <w:rPr>
          <w:rFonts w:ascii="Times New Roman" w:eastAsia="標楷體" w:hAnsi="標楷體" w:hint="eastAsia"/>
          <w:sz w:val="28"/>
        </w:rPr>
        <w:t>委員由本局</w:t>
      </w:r>
      <w:r w:rsidR="00A84544" w:rsidRPr="00A84544">
        <w:rPr>
          <w:rFonts w:ascii="標楷體" w:eastAsia="標楷體" w:hAnsi="標楷體" w:hint="eastAsia"/>
          <w:color w:val="FF0000"/>
          <w:sz w:val="28"/>
        </w:rPr>
        <w:t>及所屬機關</w:t>
      </w:r>
      <w:r w:rsidR="007E36D3">
        <w:rPr>
          <w:rFonts w:ascii="Times New Roman" w:eastAsia="標楷體" w:hAnsi="標楷體" w:hint="eastAsia"/>
          <w:sz w:val="28"/>
        </w:rPr>
        <w:t>股長以上層級人員擔任。</w:t>
      </w:r>
    </w:p>
    <w:p w:rsidR="007E36D3" w:rsidRDefault="007E36D3" w:rsidP="007E36D3">
      <w:pPr>
        <w:pStyle w:val="a3"/>
        <w:numPr>
          <w:ilvl w:val="0"/>
          <w:numId w:val="33"/>
        </w:numPr>
        <w:snapToGrid w:val="0"/>
        <w:spacing w:line="460" w:lineRule="exact"/>
        <w:ind w:leftChars="0"/>
        <w:jc w:val="both"/>
        <w:rPr>
          <w:rFonts w:ascii="標楷體" w:eastAsia="標楷體" w:hAnsi="標楷體"/>
          <w:sz w:val="28"/>
          <w:szCs w:val="24"/>
        </w:rPr>
      </w:pPr>
      <w:r>
        <w:rPr>
          <w:rFonts w:ascii="標楷體" w:eastAsia="標楷體" w:hAnsi="標楷體" w:hint="eastAsia"/>
          <w:sz w:val="28"/>
        </w:rPr>
        <w:t>二千萬元以上未達五千萬元之計畫如屬例行性維修養護、施工項目簡易或緊急災害搶救修復等工程，經簽奉局長或其授權人核准，得免組成審議小組。</w:t>
      </w:r>
    </w:p>
    <w:p w:rsidR="007E36D3" w:rsidRDefault="007E36D3" w:rsidP="007E36D3">
      <w:pPr>
        <w:pStyle w:val="a3"/>
        <w:numPr>
          <w:ilvl w:val="0"/>
          <w:numId w:val="32"/>
        </w:numPr>
        <w:snapToGrid w:val="0"/>
        <w:spacing w:line="460" w:lineRule="exact"/>
        <w:ind w:leftChars="0" w:left="879" w:hanging="482"/>
        <w:jc w:val="both"/>
        <w:rPr>
          <w:rFonts w:ascii="標楷體" w:eastAsia="標楷體" w:hAnsi="標楷體"/>
          <w:sz w:val="28"/>
          <w:szCs w:val="24"/>
        </w:rPr>
      </w:pPr>
      <w:r>
        <w:rPr>
          <w:rFonts w:ascii="標楷體" w:eastAsia="標楷體" w:hAnsi="標楷體" w:hint="eastAsia"/>
          <w:sz w:val="28"/>
          <w:szCs w:val="24"/>
        </w:rPr>
        <w:t>未達二千萬元之</w:t>
      </w:r>
      <w:r>
        <w:rPr>
          <w:rFonts w:ascii="標楷體" w:eastAsia="標楷體" w:hAnsi="標楷體" w:hint="eastAsia"/>
          <w:sz w:val="28"/>
        </w:rPr>
        <w:t>工程設計案</w:t>
      </w:r>
      <w:r>
        <w:rPr>
          <w:rFonts w:ascii="標楷體" w:eastAsia="標楷體" w:hAnsi="標楷體" w:hint="eastAsia"/>
          <w:sz w:val="28"/>
          <w:szCs w:val="24"/>
        </w:rPr>
        <w:t>：</w:t>
      </w:r>
    </w:p>
    <w:p w:rsidR="007E36D3" w:rsidRDefault="007E36D3" w:rsidP="007E36D3">
      <w:pPr>
        <w:pStyle w:val="a3"/>
        <w:numPr>
          <w:ilvl w:val="0"/>
          <w:numId w:val="34"/>
        </w:numPr>
        <w:snapToGrid w:val="0"/>
        <w:spacing w:line="460" w:lineRule="exact"/>
        <w:ind w:leftChars="0"/>
        <w:jc w:val="both"/>
        <w:rPr>
          <w:rFonts w:ascii="標楷體" w:eastAsia="標楷體" w:hAnsi="標楷體"/>
          <w:sz w:val="28"/>
          <w:szCs w:val="24"/>
        </w:rPr>
      </w:pPr>
      <w:r>
        <w:rPr>
          <w:rFonts w:ascii="標楷體" w:eastAsia="標楷體" w:hAnsi="標楷體" w:hint="eastAsia"/>
          <w:sz w:val="28"/>
        </w:rPr>
        <w:t>工程主辦單位於完成工程設計(基本設計及細部設計)，得簽辦組成個案審議小組，並簽請指派本局</w:t>
      </w:r>
      <w:r w:rsidR="00A84544" w:rsidRPr="00A84544">
        <w:rPr>
          <w:rFonts w:ascii="標楷體" w:eastAsia="標楷體" w:hAnsi="標楷體" w:hint="eastAsia"/>
          <w:color w:val="FF0000"/>
          <w:sz w:val="28"/>
        </w:rPr>
        <w:t>及所屬機關</w:t>
      </w:r>
      <w:r>
        <w:rPr>
          <w:rFonts w:ascii="標楷體" w:eastAsia="標楷體" w:hAnsi="標楷體" w:hint="eastAsia"/>
          <w:sz w:val="28"/>
        </w:rPr>
        <w:t>副總工程司以上人員擔任個案審議小組召集人，審議小組得依工程性質及介面複雜性設委員一至三人，外聘之專家人數不得少於二分之一</w:t>
      </w:r>
    </w:p>
    <w:p w:rsidR="007E36D3" w:rsidRDefault="007E36D3" w:rsidP="007E36D3">
      <w:pPr>
        <w:pStyle w:val="a3"/>
        <w:snapToGrid w:val="0"/>
        <w:spacing w:line="460" w:lineRule="exact"/>
        <w:ind w:leftChars="0" w:left="1359"/>
        <w:rPr>
          <w:rFonts w:ascii="標楷體" w:eastAsia="標楷體" w:hAnsi="標楷體"/>
          <w:sz w:val="28"/>
          <w:szCs w:val="24"/>
        </w:rPr>
      </w:pPr>
      <w:r>
        <w:rPr>
          <w:rFonts w:ascii="標楷體" w:eastAsia="標楷體" w:hAnsi="標楷體" w:hint="eastAsia"/>
          <w:sz w:val="28"/>
        </w:rPr>
        <w:t>。</w:t>
      </w:r>
    </w:p>
    <w:p w:rsidR="007E36D3" w:rsidRDefault="001C0DE0" w:rsidP="007E36D3">
      <w:pPr>
        <w:pStyle w:val="a3"/>
        <w:numPr>
          <w:ilvl w:val="0"/>
          <w:numId w:val="34"/>
        </w:numPr>
        <w:snapToGrid w:val="0"/>
        <w:spacing w:line="460" w:lineRule="exact"/>
        <w:ind w:leftChars="0"/>
        <w:jc w:val="both"/>
        <w:rPr>
          <w:rFonts w:ascii="標楷體" w:eastAsia="標楷體" w:hAnsi="標楷體"/>
          <w:sz w:val="28"/>
          <w:szCs w:val="24"/>
        </w:rPr>
      </w:pPr>
      <w:r w:rsidRPr="007E36D3">
        <w:rPr>
          <w:rFonts w:ascii="標楷體" w:eastAsia="標楷體" w:hAnsi="標楷體" w:hint="eastAsia"/>
          <w:color w:val="FF0000"/>
          <w:sz w:val="28"/>
          <w:szCs w:val="28"/>
        </w:rPr>
        <w:t>前款</w:t>
      </w:r>
      <w:r w:rsidR="007E36D3">
        <w:rPr>
          <w:rFonts w:ascii="Times New Roman" w:eastAsia="標楷體" w:hAnsi="標楷體" w:hint="eastAsia"/>
          <w:sz w:val="28"/>
        </w:rPr>
        <w:t>外聘委員由行政院公共工程委員會建置之專家名單或其他第三公正單位專家、學者遴聘；</w:t>
      </w:r>
      <w:r w:rsidR="007E36D3" w:rsidRPr="00605C94">
        <w:rPr>
          <w:rFonts w:ascii="Times New Roman" w:eastAsia="標楷體" w:hAnsi="標楷體" w:hint="eastAsia"/>
          <w:color w:val="FF0000"/>
          <w:sz w:val="28"/>
        </w:rPr>
        <w:t>內</w:t>
      </w:r>
      <w:r w:rsidR="00913B70" w:rsidRPr="00605C94">
        <w:rPr>
          <w:rFonts w:ascii="Times New Roman" w:eastAsia="標楷體" w:hAnsi="標楷體" w:hint="eastAsia"/>
          <w:color w:val="FF0000"/>
          <w:sz w:val="28"/>
        </w:rPr>
        <w:t>派</w:t>
      </w:r>
      <w:r w:rsidR="007E36D3">
        <w:rPr>
          <w:rFonts w:ascii="Times New Roman" w:eastAsia="標楷體" w:hAnsi="標楷體" w:hint="eastAsia"/>
          <w:sz w:val="28"/>
        </w:rPr>
        <w:t>委員由本局</w:t>
      </w:r>
      <w:r w:rsidR="00A84544" w:rsidRPr="00A84544">
        <w:rPr>
          <w:rFonts w:ascii="標楷體" w:eastAsia="標楷體" w:hAnsi="標楷體" w:hint="eastAsia"/>
          <w:color w:val="FF0000"/>
          <w:sz w:val="28"/>
        </w:rPr>
        <w:t>及所屬機關</w:t>
      </w:r>
      <w:r w:rsidR="007E36D3">
        <w:rPr>
          <w:rFonts w:ascii="Times New Roman" w:eastAsia="標楷體" w:hAnsi="標楷體" w:hint="eastAsia"/>
          <w:sz w:val="28"/>
        </w:rPr>
        <w:t>股長以上層級人員擔任。</w:t>
      </w:r>
    </w:p>
    <w:p w:rsidR="007E36D3" w:rsidRDefault="007E36D3" w:rsidP="007E36D3">
      <w:pPr>
        <w:pStyle w:val="a3"/>
        <w:numPr>
          <w:ilvl w:val="0"/>
          <w:numId w:val="34"/>
        </w:numPr>
        <w:snapToGrid w:val="0"/>
        <w:spacing w:line="460" w:lineRule="exact"/>
        <w:ind w:leftChars="0"/>
        <w:jc w:val="both"/>
        <w:rPr>
          <w:rFonts w:ascii="標楷體" w:eastAsia="標楷體" w:hAnsi="標楷體"/>
          <w:sz w:val="28"/>
          <w:szCs w:val="24"/>
        </w:rPr>
      </w:pPr>
      <w:r>
        <w:rPr>
          <w:rFonts w:ascii="標楷體" w:eastAsia="標楷體" w:hAnsi="標楷體" w:hint="eastAsia"/>
          <w:sz w:val="28"/>
        </w:rPr>
        <w:t>二千萬元以下之工程如屬例行性維修養護、施工項目簡易或緊急災害搶救修復等工程，得免組成審議小組。</w:t>
      </w:r>
    </w:p>
    <w:p w:rsidR="007E36D3" w:rsidRDefault="007E36D3" w:rsidP="007E36D3">
      <w:pPr>
        <w:pStyle w:val="a3"/>
        <w:numPr>
          <w:ilvl w:val="0"/>
          <w:numId w:val="30"/>
        </w:numPr>
        <w:snapToGrid w:val="0"/>
        <w:spacing w:line="460" w:lineRule="exact"/>
        <w:ind w:leftChars="0" w:left="567" w:hanging="567"/>
        <w:jc w:val="both"/>
        <w:rPr>
          <w:rFonts w:ascii="Times New Roman" w:eastAsia="標楷體" w:hAnsi="標楷體" w:cs="Times New Roman"/>
          <w:sz w:val="28"/>
        </w:rPr>
      </w:pPr>
      <w:r>
        <w:rPr>
          <w:rFonts w:ascii="Times New Roman" w:eastAsia="標楷體" w:hAnsi="標楷體" w:cs="Times New Roman" w:hint="eastAsia"/>
          <w:sz w:val="28"/>
        </w:rPr>
        <w:t>本局</w:t>
      </w:r>
      <w:r w:rsidRPr="007E36D3">
        <w:rPr>
          <w:rFonts w:ascii="Times New Roman" w:eastAsia="標楷體" w:hAnsi="標楷體" w:cs="Times New Roman" w:hint="eastAsia"/>
          <w:color w:val="FF0000"/>
          <w:sz w:val="28"/>
          <w:szCs w:val="24"/>
        </w:rPr>
        <w:t>及所屬機關</w:t>
      </w:r>
      <w:r>
        <w:rPr>
          <w:rFonts w:ascii="Times New Roman" w:eastAsia="標楷體" w:hAnsi="標楷體" w:cs="Times New Roman" w:hint="eastAsia"/>
          <w:sz w:val="28"/>
        </w:rPr>
        <w:t>辦理審議會議時，依個案公共工程特性訂定審議項目，至少應包括安全性、施工性、維護性、環境景觀影響性及經濟性等五大項，並參考公共工程規劃設計審議項目表辦理</w:t>
      </w:r>
      <w:r>
        <w:rPr>
          <w:rFonts w:ascii="Times New Roman" w:eastAsia="標楷體" w:hAnsi="標楷體" w:cs="Times New Roman"/>
          <w:sz w:val="28"/>
        </w:rPr>
        <w:t>(</w:t>
      </w:r>
      <w:r>
        <w:rPr>
          <w:rFonts w:ascii="Times New Roman" w:eastAsia="標楷體" w:hAnsi="標楷體" w:cs="Times New Roman" w:hint="eastAsia"/>
          <w:sz w:val="28"/>
        </w:rPr>
        <w:t>如附表</w:t>
      </w:r>
      <w:r>
        <w:rPr>
          <w:rFonts w:ascii="Times New Roman" w:eastAsia="標楷體" w:hAnsi="標楷體" w:cs="Times New Roman"/>
          <w:sz w:val="28"/>
        </w:rPr>
        <w:t>)</w:t>
      </w:r>
      <w:r>
        <w:rPr>
          <w:rFonts w:ascii="Times New Roman" w:eastAsia="標楷體" w:hAnsi="標楷體" w:cs="Times New Roman" w:hint="eastAsia"/>
          <w:sz w:val="28"/>
        </w:rPr>
        <w:t>。</w:t>
      </w:r>
    </w:p>
    <w:p w:rsidR="007E36D3" w:rsidRDefault="007E36D3" w:rsidP="007E36D3">
      <w:pPr>
        <w:widowControl/>
        <w:snapToGrid w:val="0"/>
        <w:spacing w:line="460" w:lineRule="exact"/>
        <w:rPr>
          <w:rFonts w:ascii="Times New Roman" w:eastAsia="標楷體" w:hAnsi="標楷體" w:cs="Times New Roman"/>
          <w:sz w:val="28"/>
        </w:rPr>
      </w:pPr>
      <w:r>
        <w:rPr>
          <w:rFonts w:ascii="Times New Roman" w:eastAsia="標楷體" w:hAnsi="標楷體" w:cs="Times New Roman"/>
          <w:kern w:val="0"/>
          <w:sz w:val="28"/>
        </w:rPr>
        <w:br w:type="page"/>
      </w:r>
    </w:p>
    <w:p w:rsidR="007E36D3" w:rsidRDefault="007E36D3" w:rsidP="007E36D3">
      <w:pPr>
        <w:widowControl/>
        <w:rPr>
          <w:rFonts w:ascii="Times New Roman" w:eastAsia="標楷體" w:hAnsi="Times New Roman" w:cs="Times New Roman"/>
          <w:sz w:val="32"/>
          <w:szCs w:val="32"/>
        </w:rPr>
      </w:pPr>
      <w:bookmarkStart w:id="1" w:name="_Hlk22559325"/>
      <w:r>
        <w:rPr>
          <w:rFonts w:ascii="Times New Roman" w:eastAsia="標楷體" w:hAnsi="Times New Roman" w:cs="Times New Roman" w:hint="eastAsia"/>
          <w:sz w:val="32"/>
          <w:szCs w:val="32"/>
        </w:rPr>
        <w:lastRenderedPageBreak/>
        <w:t>附表</w:t>
      </w:r>
    </w:p>
    <w:p w:rsidR="007E36D3" w:rsidRDefault="007E36D3" w:rsidP="007E36D3">
      <w:pPr>
        <w:widowControl/>
        <w:spacing w:line="440" w:lineRule="exact"/>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臺中市政府建設局</w:t>
      </w:r>
      <w:r>
        <w:rPr>
          <w:rFonts w:ascii="標楷體" w:eastAsia="標楷體" w:hAnsi="標楷體" w:hint="eastAsia"/>
          <w:sz w:val="32"/>
          <w:szCs w:val="32"/>
        </w:rPr>
        <w:t>及所屬機關</w:t>
      </w:r>
      <w:r>
        <w:rPr>
          <w:rFonts w:ascii="Times New Roman" w:eastAsia="標楷體" w:hAnsi="標楷體" w:cs="Times New Roman" w:hint="eastAsia"/>
          <w:sz w:val="32"/>
          <w:szCs w:val="32"/>
        </w:rPr>
        <w:t>公共工程設計審議項目表</w:t>
      </w:r>
    </w:p>
    <w:tbl>
      <w:tblPr>
        <w:tblStyle w:val="a6"/>
        <w:tblW w:w="9476" w:type="dxa"/>
        <w:jc w:val="center"/>
        <w:tblInd w:w="0" w:type="dxa"/>
        <w:tblLook w:val="04A0" w:firstRow="1" w:lastRow="0" w:firstColumn="1" w:lastColumn="0" w:noHBand="0" w:noVBand="1"/>
      </w:tblPr>
      <w:tblGrid>
        <w:gridCol w:w="971"/>
        <w:gridCol w:w="2268"/>
        <w:gridCol w:w="5245"/>
        <w:gridCol w:w="992"/>
      </w:tblGrid>
      <w:tr w:rsidR="007E36D3" w:rsidTr="007E36D3">
        <w:trPr>
          <w:jc w:val="center"/>
        </w:trPr>
        <w:tc>
          <w:tcPr>
            <w:tcW w:w="971" w:type="dxa"/>
            <w:tcBorders>
              <w:top w:val="single" w:sz="4" w:space="0" w:color="auto"/>
              <w:left w:val="single" w:sz="4" w:space="0" w:color="auto"/>
              <w:bottom w:val="single" w:sz="4" w:space="0" w:color="auto"/>
              <w:right w:val="single" w:sz="4" w:space="0" w:color="auto"/>
            </w:tcBorders>
            <w:hideMark/>
          </w:tcPr>
          <w:p w:rsidR="007E36D3" w:rsidRDefault="007E36D3">
            <w:pPr>
              <w:widowControl/>
              <w:rPr>
                <w:rFonts w:ascii="Times New Roman" w:eastAsia="標楷體" w:hAnsi="Times New Roman" w:cs="Times New Roman"/>
                <w:szCs w:val="24"/>
              </w:rPr>
            </w:pPr>
            <w:r>
              <w:rPr>
                <w:rFonts w:ascii="Times New Roman" w:eastAsia="標楷體" w:hAnsi="Times New Roman" w:cs="Times New Roman" w:hint="eastAsia"/>
                <w:szCs w:val="24"/>
              </w:rPr>
              <w:t>項次</w:t>
            </w:r>
          </w:p>
        </w:tc>
        <w:tc>
          <w:tcPr>
            <w:tcW w:w="2268" w:type="dxa"/>
            <w:tcBorders>
              <w:top w:val="single" w:sz="4" w:space="0" w:color="auto"/>
              <w:left w:val="single" w:sz="4" w:space="0" w:color="auto"/>
              <w:bottom w:val="single" w:sz="4" w:space="0" w:color="auto"/>
              <w:right w:val="single" w:sz="4" w:space="0" w:color="auto"/>
            </w:tcBorders>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審議項目</w:t>
            </w:r>
          </w:p>
        </w:tc>
        <w:tc>
          <w:tcPr>
            <w:tcW w:w="5245" w:type="dxa"/>
            <w:tcBorders>
              <w:top w:val="single" w:sz="4" w:space="0" w:color="auto"/>
              <w:left w:val="single" w:sz="4" w:space="0" w:color="auto"/>
              <w:bottom w:val="single" w:sz="4" w:space="0" w:color="auto"/>
              <w:right w:val="single" w:sz="4" w:space="0" w:color="auto"/>
            </w:tcBorders>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審議內容</w:t>
            </w:r>
          </w:p>
        </w:tc>
        <w:tc>
          <w:tcPr>
            <w:tcW w:w="992" w:type="dxa"/>
            <w:tcBorders>
              <w:top w:val="single" w:sz="4" w:space="0" w:color="auto"/>
              <w:left w:val="single" w:sz="4" w:space="0" w:color="auto"/>
              <w:bottom w:val="single" w:sz="4" w:space="0" w:color="auto"/>
              <w:right w:val="single" w:sz="4" w:space="0" w:color="auto"/>
            </w:tcBorders>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備註</w:t>
            </w:r>
          </w:p>
        </w:tc>
      </w:tr>
      <w:tr w:rsidR="007E36D3" w:rsidTr="007E36D3">
        <w:trPr>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6D3" w:rsidRDefault="007E36D3">
            <w:pPr>
              <w:jc w:val="center"/>
              <w:rPr>
                <w:rFonts w:ascii="標楷體" w:eastAsia="標楷體" w:hAnsi="標楷體"/>
                <w:bCs/>
                <w:szCs w:val="24"/>
              </w:rPr>
            </w:pPr>
            <w:r>
              <w:rPr>
                <w:rFonts w:ascii="標楷體" w:eastAsia="標楷體" w:hAnsi="標楷體" w:hint="eastAsia"/>
                <w:bCs/>
                <w:szCs w:val="24"/>
              </w:rPr>
              <w:t>安全性</w:t>
            </w:r>
          </w:p>
        </w:tc>
        <w:tc>
          <w:tcPr>
            <w:tcW w:w="5245" w:type="dxa"/>
            <w:tcBorders>
              <w:top w:val="single" w:sz="4" w:space="0" w:color="auto"/>
              <w:left w:val="single" w:sz="4" w:space="0" w:color="auto"/>
              <w:bottom w:val="single" w:sz="4" w:space="0" w:color="auto"/>
              <w:right w:val="single" w:sz="4" w:space="0" w:color="auto"/>
            </w:tcBorders>
            <w:hideMark/>
          </w:tcPr>
          <w:p w:rsidR="007E36D3" w:rsidRDefault="007E36D3" w:rsidP="007E36D3">
            <w:pPr>
              <w:pStyle w:val="a3"/>
              <w:numPr>
                <w:ilvl w:val="0"/>
                <w:numId w:val="36"/>
              </w:numPr>
              <w:spacing w:line="320" w:lineRule="exact"/>
              <w:ind w:leftChars="0"/>
              <w:jc w:val="both"/>
              <w:rPr>
                <w:rFonts w:ascii="標楷體" w:eastAsia="標楷體" w:hAnsi="標楷體"/>
                <w:szCs w:val="24"/>
              </w:rPr>
            </w:pPr>
            <w:r>
              <w:rPr>
                <w:rFonts w:ascii="標楷體" w:eastAsia="標楷體" w:hAnsi="標楷體" w:hint="eastAsia"/>
                <w:bCs/>
                <w:szCs w:val="24"/>
              </w:rPr>
              <w:t>規範引用是否適當。</w:t>
            </w:r>
          </w:p>
          <w:p w:rsidR="007E36D3" w:rsidRDefault="007E36D3" w:rsidP="007E36D3">
            <w:pPr>
              <w:pStyle w:val="a3"/>
              <w:numPr>
                <w:ilvl w:val="0"/>
                <w:numId w:val="36"/>
              </w:numPr>
              <w:spacing w:line="320" w:lineRule="exact"/>
              <w:ind w:leftChars="0"/>
              <w:jc w:val="both"/>
              <w:rPr>
                <w:rFonts w:ascii="標楷體" w:eastAsia="標楷體" w:hAnsi="標楷體"/>
                <w:szCs w:val="24"/>
              </w:rPr>
            </w:pPr>
            <w:r>
              <w:rPr>
                <w:rFonts w:ascii="標楷體" w:eastAsia="標楷體" w:hAnsi="標楷體" w:hint="eastAsia"/>
                <w:bCs/>
                <w:szCs w:val="24"/>
              </w:rPr>
              <w:t>參數引用是否適當。</w:t>
            </w:r>
          </w:p>
          <w:p w:rsidR="007E36D3" w:rsidRDefault="007E36D3" w:rsidP="007E36D3">
            <w:pPr>
              <w:pStyle w:val="a3"/>
              <w:numPr>
                <w:ilvl w:val="0"/>
                <w:numId w:val="36"/>
              </w:numPr>
              <w:spacing w:line="320" w:lineRule="exact"/>
              <w:ind w:leftChars="0"/>
              <w:jc w:val="both"/>
              <w:rPr>
                <w:rFonts w:ascii="標楷體" w:eastAsia="標楷體" w:hAnsi="標楷體"/>
                <w:bCs/>
                <w:szCs w:val="24"/>
              </w:rPr>
            </w:pPr>
            <w:r>
              <w:rPr>
                <w:rFonts w:ascii="標楷體" w:eastAsia="標楷體" w:hAnsi="標楷體" w:hint="eastAsia"/>
                <w:bCs/>
                <w:szCs w:val="24"/>
              </w:rPr>
              <w:t>應變措施規範是否適當。</w:t>
            </w:r>
          </w:p>
          <w:p w:rsidR="007E36D3" w:rsidRDefault="007E36D3" w:rsidP="007E36D3">
            <w:pPr>
              <w:pStyle w:val="a3"/>
              <w:numPr>
                <w:ilvl w:val="0"/>
                <w:numId w:val="36"/>
              </w:numPr>
              <w:spacing w:line="320" w:lineRule="exact"/>
              <w:ind w:leftChars="0"/>
              <w:jc w:val="both"/>
              <w:rPr>
                <w:rFonts w:ascii="標楷體" w:eastAsia="標楷體" w:hAnsi="標楷體"/>
                <w:bCs/>
                <w:szCs w:val="24"/>
              </w:rPr>
            </w:pPr>
            <w:r>
              <w:rPr>
                <w:rFonts w:ascii="標楷體" w:eastAsia="標楷體" w:hAnsi="標楷體" w:hint="eastAsia"/>
                <w:bCs/>
                <w:szCs w:val="24"/>
              </w:rPr>
              <w:t>地盤狀況是否適當。</w:t>
            </w:r>
          </w:p>
          <w:p w:rsidR="007E36D3" w:rsidRDefault="007E36D3" w:rsidP="007E36D3">
            <w:pPr>
              <w:pStyle w:val="a3"/>
              <w:numPr>
                <w:ilvl w:val="0"/>
                <w:numId w:val="36"/>
              </w:numPr>
              <w:spacing w:line="320" w:lineRule="exact"/>
              <w:ind w:leftChars="0"/>
              <w:jc w:val="both"/>
              <w:rPr>
                <w:rFonts w:ascii="標楷體" w:eastAsia="標楷體" w:hAnsi="標楷體"/>
                <w:bCs/>
                <w:szCs w:val="24"/>
              </w:rPr>
            </w:pPr>
            <w:r>
              <w:rPr>
                <w:rFonts w:ascii="標楷體" w:eastAsia="標楷體" w:hAnsi="標楷體" w:hint="eastAsia"/>
                <w:bCs/>
                <w:szCs w:val="24"/>
              </w:rPr>
              <w:t>工法選用是否適當。</w:t>
            </w:r>
          </w:p>
          <w:p w:rsidR="007E36D3" w:rsidRDefault="007E36D3" w:rsidP="007E36D3">
            <w:pPr>
              <w:pStyle w:val="a3"/>
              <w:numPr>
                <w:ilvl w:val="0"/>
                <w:numId w:val="36"/>
              </w:numPr>
              <w:spacing w:line="320" w:lineRule="exact"/>
              <w:ind w:leftChars="0"/>
              <w:jc w:val="both"/>
              <w:rPr>
                <w:rFonts w:ascii="標楷體" w:eastAsia="標楷體" w:hAnsi="標楷體"/>
                <w:bCs/>
                <w:szCs w:val="24"/>
              </w:rPr>
            </w:pPr>
            <w:r>
              <w:rPr>
                <w:rFonts w:ascii="標楷體" w:eastAsia="標楷體" w:hAnsi="標楷體" w:hint="eastAsia"/>
                <w:bCs/>
                <w:szCs w:val="24"/>
              </w:rPr>
              <w:t>規劃設計成果是否造成施工動線不良。</w:t>
            </w:r>
          </w:p>
          <w:p w:rsidR="007E36D3" w:rsidRDefault="007E36D3" w:rsidP="007E36D3">
            <w:pPr>
              <w:pStyle w:val="a3"/>
              <w:numPr>
                <w:ilvl w:val="0"/>
                <w:numId w:val="36"/>
              </w:numPr>
              <w:spacing w:line="320" w:lineRule="exact"/>
              <w:ind w:leftChars="0"/>
              <w:jc w:val="both"/>
              <w:rPr>
                <w:rFonts w:ascii="標楷體" w:eastAsia="標楷體" w:hAnsi="標楷體"/>
                <w:bCs/>
                <w:szCs w:val="24"/>
              </w:rPr>
            </w:pPr>
            <w:r>
              <w:rPr>
                <w:rFonts w:ascii="標楷體" w:eastAsia="標楷體" w:hAnsi="標楷體" w:hint="eastAsia"/>
                <w:bCs/>
                <w:szCs w:val="24"/>
              </w:rPr>
              <w:t>臨時支撐型式及數量是否適當。</w:t>
            </w:r>
          </w:p>
          <w:p w:rsidR="007E36D3" w:rsidRPr="007E36D3" w:rsidRDefault="007E36D3" w:rsidP="007E36D3">
            <w:pPr>
              <w:pStyle w:val="a3"/>
              <w:widowControl/>
              <w:numPr>
                <w:ilvl w:val="0"/>
                <w:numId w:val="36"/>
              </w:numPr>
              <w:spacing w:line="320" w:lineRule="exact"/>
              <w:ind w:leftChars="0"/>
              <w:rPr>
                <w:rFonts w:ascii="標楷體" w:eastAsia="標楷體" w:hAnsi="標楷體"/>
                <w:bCs/>
                <w:szCs w:val="24"/>
              </w:rPr>
            </w:pPr>
            <w:r w:rsidRPr="007E36D3">
              <w:rPr>
                <w:rFonts w:ascii="標楷體" w:eastAsia="標楷體" w:hAnsi="標楷體" w:hint="eastAsia"/>
                <w:bCs/>
                <w:szCs w:val="24"/>
              </w:rPr>
              <w:t>安全監測項目及頻率是否適當，設計成果是否危及維護人員工作環境。</w:t>
            </w:r>
          </w:p>
          <w:p w:rsidR="007E36D3" w:rsidRPr="007E36D3" w:rsidRDefault="007E36D3" w:rsidP="007E36D3">
            <w:pPr>
              <w:pStyle w:val="a3"/>
              <w:widowControl/>
              <w:numPr>
                <w:ilvl w:val="0"/>
                <w:numId w:val="36"/>
              </w:numPr>
              <w:spacing w:line="320" w:lineRule="exact"/>
              <w:ind w:leftChars="0"/>
              <w:rPr>
                <w:rFonts w:ascii="Times New Roman" w:eastAsia="標楷體" w:hAnsi="Times New Roman" w:cs="Times New Roman"/>
                <w:szCs w:val="24"/>
              </w:rPr>
            </w:pPr>
            <w:r w:rsidRPr="007E36D3">
              <w:rPr>
                <w:rFonts w:ascii="標楷體" w:eastAsia="標楷體" w:hAnsi="標楷體" w:hint="eastAsia"/>
                <w:bCs/>
                <w:szCs w:val="24"/>
              </w:rPr>
              <w:t>其他。</w:t>
            </w:r>
          </w:p>
        </w:tc>
        <w:tc>
          <w:tcPr>
            <w:tcW w:w="992" w:type="dxa"/>
            <w:tcBorders>
              <w:top w:val="single" w:sz="4" w:space="0" w:color="auto"/>
              <w:left w:val="single" w:sz="4" w:space="0" w:color="auto"/>
              <w:bottom w:val="single" w:sz="4" w:space="0" w:color="auto"/>
              <w:right w:val="single" w:sz="4" w:space="0" w:color="auto"/>
            </w:tcBorders>
          </w:tcPr>
          <w:p w:rsidR="007E36D3" w:rsidRDefault="007E36D3">
            <w:pPr>
              <w:widowControl/>
              <w:rPr>
                <w:rFonts w:ascii="Times New Roman" w:eastAsia="標楷體" w:hAnsi="Times New Roman" w:cs="Times New Roman"/>
                <w:szCs w:val="24"/>
              </w:rPr>
            </w:pPr>
          </w:p>
        </w:tc>
      </w:tr>
      <w:tr w:rsidR="007E36D3" w:rsidTr="007E36D3">
        <w:trPr>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施工性</w:t>
            </w:r>
          </w:p>
        </w:tc>
        <w:tc>
          <w:tcPr>
            <w:tcW w:w="5245" w:type="dxa"/>
            <w:tcBorders>
              <w:top w:val="single" w:sz="4" w:space="0" w:color="auto"/>
              <w:left w:val="single" w:sz="4" w:space="0" w:color="auto"/>
              <w:bottom w:val="single" w:sz="4" w:space="0" w:color="auto"/>
              <w:right w:val="single" w:sz="4" w:space="0" w:color="auto"/>
            </w:tcBorders>
            <w:hideMark/>
          </w:tcPr>
          <w:p w:rsidR="007E36D3" w:rsidRDefault="007E36D3" w:rsidP="007E36D3">
            <w:pPr>
              <w:pStyle w:val="a3"/>
              <w:widowControl/>
              <w:numPr>
                <w:ilvl w:val="0"/>
                <w:numId w:val="3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施工性是否適當。</w:t>
            </w:r>
          </w:p>
          <w:p w:rsidR="007E36D3" w:rsidRDefault="007E36D3" w:rsidP="007E36D3">
            <w:pPr>
              <w:pStyle w:val="a3"/>
              <w:widowControl/>
              <w:numPr>
                <w:ilvl w:val="0"/>
                <w:numId w:val="3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設計界面整合是否適當。</w:t>
            </w:r>
          </w:p>
          <w:p w:rsidR="007E36D3" w:rsidRDefault="007E36D3" w:rsidP="007E36D3">
            <w:pPr>
              <w:pStyle w:val="a3"/>
              <w:widowControl/>
              <w:numPr>
                <w:ilvl w:val="0"/>
                <w:numId w:val="3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進度</w:t>
            </w:r>
            <w:r>
              <w:rPr>
                <w:rFonts w:ascii="Times New Roman" w:eastAsia="標楷體" w:hAnsi="Times New Roman" w:cs="Times New Roman"/>
                <w:szCs w:val="24"/>
              </w:rPr>
              <w:t>(</w:t>
            </w:r>
            <w:r>
              <w:rPr>
                <w:rFonts w:ascii="Times New Roman" w:eastAsia="標楷體" w:hAnsi="Times New Roman" w:cs="Times New Roman" w:hint="eastAsia"/>
                <w:szCs w:val="24"/>
              </w:rPr>
              <w:t>工期</w:t>
            </w:r>
            <w:r>
              <w:rPr>
                <w:rFonts w:ascii="Times New Roman" w:eastAsia="標楷體" w:hAnsi="Times New Roman" w:cs="Times New Roman"/>
                <w:szCs w:val="24"/>
              </w:rPr>
              <w:t>)</w:t>
            </w:r>
            <w:r>
              <w:rPr>
                <w:rFonts w:ascii="Times New Roman" w:eastAsia="標楷體" w:hAnsi="Times New Roman" w:cs="Times New Roman" w:hint="eastAsia"/>
                <w:szCs w:val="24"/>
              </w:rPr>
              <w:t>配置是否適當。</w:t>
            </w:r>
          </w:p>
          <w:p w:rsidR="007E36D3" w:rsidRDefault="007E36D3" w:rsidP="007E36D3">
            <w:pPr>
              <w:pStyle w:val="a3"/>
              <w:widowControl/>
              <w:numPr>
                <w:ilvl w:val="0"/>
                <w:numId w:val="3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設計是否考量節能減碳等功能（如綠建築）。</w:t>
            </w:r>
          </w:p>
          <w:p w:rsidR="007E36D3" w:rsidRDefault="007E36D3" w:rsidP="007E36D3">
            <w:pPr>
              <w:pStyle w:val="a3"/>
              <w:widowControl/>
              <w:numPr>
                <w:ilvl w:val="0"/>
                <w:numId w:val="3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其他。</w:t>
            </w:r>
          </w:p>
        </w:tc>
        <w:tc>
          <w:tcPr>
            <w:tcW w:w="992" w:type="dxa"/>
            <w:tcBorders>
              <w:top w:val="single" w:sz="4" w:space="0" w:color="auto"/>
              <w:left w:val="single" w:sz="4" w:space="0" w:color="auto"/>
              <w:bottom w:val="single" w:sz="4" w:space="0" w:color="auto"/>
              <w:right w:val="single" w:sz="4" w:space="0" w:color="auto"/>
            </w:tcBorders>
          </w:tcPr>
          <w:p w:rsidR="007E36D3" w:rsidRDefault="007E36D3">
            <w:pPr>
              <w:widowControl/>
              <w:rPr>
                <w:rFonts w:ascii="Times New Roman" w:eastAsia="標楷體" w:hAnsi="Times New Roman" w:cs="Times New Roman"/>
                <w:szCs w:val="24"/>
              </w:rPr>
            </w:pPr>
          </w:p>
        </w:tc>
      </w:tr>
      <w:tr w:rsidR="007E36D3" w:rsidTr="007E36D3">
        <w:trPr>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維護性</w:t>
            </w:r>
          </w:p>
        </w:tc>
        <w:tc>
          <w:tcPr>
            <w:tcW w:w="5245" w:type="dxa"/>
            <w:tcBorders>
              <w:top w:val="single" w:sz="4" w:space="0" w:color="auto"/>
              <w:left w:val="single" w:sz="4" w:space="0" w:color="auto"/>
              <w:bottom w:val="single" w:sz="4" w:space="0" w:color="auto"/>
              <w:right w:val="single" w:sz="4" w:space="0" w:color="auto"/>
            </w:tcBorders>
            <w:hideMark/>
          </w:tcPr>
          <w:p w:rsidR="007E36D3" w:rsidRDefault="007E36D3" w:rsidP="007E36D3">
            <w:pPr>
              <w:pStyle w:val="a3"/>
              <w:widowControl/>
              <w:numPr>
                <w:ilvl w:val="0"/>
                <w:numId w:val="47"/>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材料耐久性引用規範是否適當。</w:t>
            </w:r>
          </w:p>
          <w:p w:rsidR="007E36D3" w:rsidRDefault="007E36D3" w:rsidP="007E36D3">
            <w:pPr>
              <w:pStyle w:val="a3"/>
              <w:widowControl/>
              <w:numPr>
                <w:ilvl w:val="0"/>
                <w:numId w:val="47"/>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維修材料取得是否適當。</w:t>
            </w:r>
          </w:p>
          <w:p w:rsidR="007E36D3" w:rsidRDefault="007E36D3" w:rsidP="007E36D3">
            <w:pPr>
              <w:pStyle w:val="a3"/>
              <w:widowControl/>
              <w:numPr>
                <w:ilvl w:val="0"/>
                <w:numId w:val="47"/>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維護技術是否適當。</w:t>
            </w:r>
          </w:p>
          <w:p w:rsidR="007E36D3" w:rsidRDefault="007E36D3">
            <w:pPr>
              <w:widowControl/>
              <w:spacing w:line="320" w:lineRule="exact"/>
              <w:ind w:left="360" w:hangingChars="150" w:hanging="360"/>
              <w:rPr>
                <w:rFonts w:ascii="Times New Roman" w:eastAsia="標楷體" w:hAnsi="Times New Roman" w:cs="Times New Roman"/>
                <w:szCs w:val="24"/>
              </w:rPr>
            </w:pPr>
            <w:r>
              <w:rPr>
                <w:rFonts w:ascii="Times New Roman" w:eastAsia="標楷體" w:hAnsi="Times New Roman" w:cs="Times New Roman"/>
                <w:szCs w:val="24"/>
              </w:rPr>
              <w:t>4</w:t>
            </w:r>
            <w:r>
              <w:rPr>
                <w:rFonts w:ascii="Times New Roman" w:eastAsia="標楷體" w:hAnsi="Times New Roman" w:cs="Times New Roman" w:hint="eastAsia"/>
                <w:szCs w:val="24"/>
              </w:rPr>
              <w:t>、是否依行政院公共工程委員會</w:t>
            </w:r>
            <w:r>
              <w:rPr>
                <w:rFonts w:ascii="Times New Roman" w:eastAsia="標楷體" w:hAnsi="Times New Roman" w:cs="Times New Roman"/>
                <w:szCs w:val="24"/>
              </w:rPr>
              <w:t>95.10.30</w:t>
            </w:r>
            <w:r>
              <w:rPr>
                <w:rFonts w:ascii="Times New Roman" w:eastAsia="標楷體" w:hAnsi="Times New Roman" w:cs="Times New Roman" w:hint="eastAsia"/>
                <w:szCs w:val="24"/>
              </w:rPr>
              <w:t>工程技字第</w:t>
            </w:r>
            <w:r>
              <w:rPr>
                <w:rFonts w:ascii="Times New Roman" w:eastAsia="標楷體" w:hAnsi="Times New Roman" w:cs="Times New Roman"/>
                <w:szCs w:val="24"/>
              </w:rPr>
              <w:t>09500420500</w:t>
            </w:r>
            <w:r>
              <w:rPr>
                <w:rFonts w:ascii="Times New Roman" w:eastAsia="標楷體" w:hAnsi="Times New Roman" w:cs="Times New Roman" w:hint="eastAsia"/>
                <w:szCs w:val="24"/>
              </w:rPr>
              <w:t>號函，於規劃設計階段考量營建土石方平衡及交換、確認土質種類及數量、避免大挖大填、評估合法處理場所容量或大量者評估自設土資場等原則。</w:t>
            </w:r>
          </w:p>
          <w:p w:rsidR="007E36D3" w:rsidRDefault="007E36D3">
            <w:pPr>
              <w:widowControl/>
              <w:spacing w:line="320" w:lineRule="exact"/>
              <w:rPr>
                <w:rFonts w:ascii="Times New Roman" w:eastAsia="標楷體" w:hAnsi="Times New Roman" w:cs="Times New Roman"/>
                <w:szCs w:val="24"/>
              </w:rPr>
            </w:pPr>
            <w:r>
              <w:rPr>
                <w:rFonts w:ascii="Times New Roman" w:eastAsia="標楷體" w:hAnsi="Times New Roman" w:cs="Times New Roman"/>
                <w:szCs w:val="24"/>
              </w:rPr>
              <w:t>5</w:t>
            </w:r>
            <w:r>
              <w:rPr>
                <w:rFonts w:ascii="Times New Roman" w:eastAsia="標楷體" w:hAnsi="Times New Roman" w:cs="Times New Roman" w:hint="eastAsia"/>
                <w:szCs w:val="24"/>
              </w:rPr>
              <w:t>、其他。</w:t>
            </w:r>
          </w:p>
        </w:tc>
        <w:tc>
          <w:tcPr>
            <w:tcW w:w="992" w:type="dxa"/>
            <w:tcBorders>
              <w:top w:val="single" w:sz="4" w:space="0" w:color="auto"/>
              <w:left w:val="single" w:sz="4" w:space="0" w:color="auto"/>
              <w:bottom w:val="single" w:sz="4" w:space="0" w:color="auto"/>
              <w:right w:val="single" w:sz="4" w:space="0" w:color="auto"/>
            </w:tcBorders>
          </w:tcPr>
          <w:p w:rsidR="007E36D3" w:rsidRDefault="007E36D3">
            <w:pPr>
              <w:widowControl/>
              <w:rPr>
                <w:rFonts w:ascii="Times New Roman" w:eastAsia="標楷體" w:hAnsi="Times New Roman" w:cs="Times New Roman"/>
                <w:szCs w:val="24"/>
              </w:rPr>
            </w:pPr>
          </w:p>
        </w:tc>
      </w:tr>
      <w:tr w:rsidR="007E36D3" w:rsidTr="007E36D3">
        <w:trPr>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標楷體" w:cs="Times New Roman" w:hint="eastAsia"/>
                <w:szCs w:val="24"/>
              </w:rPr>
              <w:t>環境景觀影響性</w:t>
            </w:r>
          </w:p>
        </w:tc>
        <w:tc>
          <w:tcPr>
            <w:tcW w:w="5245" w:type="dxa"/>
            <w:tcBorders>
              <w:top w:val="single" w:sz="4" w:space="0" w:color="auto"/>
              <w:left w:val="single" w:sz="4" w:space="0" w:color="auto"/>
              <w:bottom w:val="single" w:sz="4" w:space="0" w:color="auto"/>
              <w:right w:val="single" w:sz="4" w:space="0" w:color="auto"/>
            </w:tcBorders>
            <w:hideMark/>
          </w:tcPr>
          <w:p w:rsidR="007E36D3" w:rsidRDefault="007E36D3" w:rsidP="007E36D3">
            <w:pPr>
              <w:pStyle w:val="a3"/>
              <w:widowControl/>
              <w:numPr>
                <w:ilvl w:val="0"/>
                <w:numId w:val="4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是否須辦理環境影響評估。</w:t>
            </w:r>
          </w:p>
          <w:p w:rsidR="007E36D3" w:rsidRDefault="007E36D3" w:rsidP="007E36D3">
            <w:pPr>
              <w:pStyle w:val="a3"/>
              <w:widowControl/>
              <w:numPr>
                <w:ilvl w:val="0"/>
                <w:numId w:val="4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是否須辦理水土保持計畫。</w:t>
            </w:r>
          </w:p>
          <w:p w:rsidR="007E36D3" w:rsidRDefault="007E36D3" w:rsidP="007E36D3">
            <w:pPr>
              <w:pStyle w:val="a3"/>
              <w:widowControl/>
              <w:numPr>
                <w:ilvl w:val="0"/>
                <w:numId w:val="4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交通維持計畫是否適當。</w:t>
            </w:r>
          </w:p>
          <w:p w:rsidR="007E36D3" w:rsidRDefault="007E36D3" w:rsidP="007E36D3">
            <w:pPr>
              <w:pStyle w:val="a3"/>
              <w:widowControl/>
              <w:numPr>
                <w:ilvl w:val="0"/>
                <w:numId w:val="4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影響景觀設施物是否有妥善處理規劃。</w:t>
            </w:r>
          </w:p>
          <w:p w:rsidR="007E36D3" w:rsidRDefault="007E36D3" w:rsidP="007E36D3">
            <w:pPr>
              <w:pStyle w:val="a3"/>
              <w:widowControl/>
              <w:numPr>
                <w:ilvl w:val="0"/>
                <w:numId w:val="4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植栽規劃是否適當。</w:t>
            </w:r>
          </w:p>
          <w:p w:rsidR="007E36D3" w:rsidRDefault="007E36D3" w:rsidP="007E36D3">
            <w:pPr>
              <w:pStyle w:val="a3"/>
              <w:widowControl/>
              <w:numPr>
                <w:ilvl w:val="0"/>
                <w:numId w:val="4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景觀維護措施是否適當。</w:t>
            </w:r>
          </w:p>
          <w:p w:rsidR="007E36D3" w:rsidRDefault="007E36D3">
            <w:pPr>
              <w:widowControl/>
              <w:spacing w:line="320" w:lineRule="exact"/>
              <w:rPr>
                <w:rFonts w:ascii="Times New Roman" w:eastAsia="標楷體" w:hAnsi="Times New Roman" w:cs="Times New Roman"/>
                <w:szCs w:val="24"/>
              </w:rPr>
            </w:pPr>
            <w:r>
              <w:rPr>
                <w:rFonts w:ascii="Times New Roman" w:eastAsia="標楷體" w:hAnsi="Times New Roman" w:cs="Times New Roman"/>
                <w:szCs w:val="24"/>
              </w:rPr>
              <w:t>7</w:t>
            </w:r>
            <w:r>
              <w:rPr>
                <w:rFonts w:ascii="Times New Roman" w:eastAsia="標楷體" w:hAnsi="Times New Roman" w:cs="Times New Roman" w:hint="eastAsia"/>
                <w:szCs w:val="24"/>
              </w:rPr>
              <w:t>、其他。</w:t>
            </w:r>
          </w:p>
        </w:tc>
        <w:tc>
          <w:tcPr>
            <w:tcW w:w="992" w:type="dxa"/>
            <w:tcBorders>
              <w:top w:val="single" w:sz="4" w:space="0" w:color="auto"/>
              <w:left w:val="single" w:sz="4" w:space="0" w:color="auto"/>
              <w:bottom w:val="single" w:sz="4" w:space="0" w:color="auto"/>
              <w:right w:val="single" w:sz="4" w:space="0" w:color="auto"/>
            </w:tcBorders>
          </w:tcPr>
          <w:p w:rsidR="007E36D3" w:rsidRDefault="007E36D3">
            <w:pPr>
              <w:widowControl/>
              <w:rPr>
                <w:rFonts w:ascii="Times New Roman" w:eastAsia="標楷體" w:hAnsi="Times New Roman" w:cs="Times New Roman"/>
                <w:szCs w:val="24"/>
              </w:rPr>
            </w:pPr>
          </w:p>
        </w:tc>
      </w:tr>
      <w:tr w:rsidR="007E36D3" w:rsidTr="007E36D3">
        <w:trPr>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標楷體" w:cs="Times New Roman" w:hint="eastAsia"/>
                <w:szCs w:val="24"/>
              </w:rPr>
              <w:t>經濟性</w:t>
            </w:r>
          </w:p>
        </w:tc>
        <w:tc>
          <w:tcPr>
            <w:tcW w:w="5245" w:type="dxa"/>
            <w:tcBorders>
              <w:top w:val="single" w:sz="4" w:space="0" w:color="auto"/>
              <w:left w:val="single" w:sz="4" w:space="0" w:color="auto"/>
              <w:bottom w:val="single" w:sz="4" w:space="0" w:color="auto"/>
              <w:right w:val="single" w:sz="4" w:space="0" w:color="auto"/>
            </w:tcBorders>
            <w:hideMark/>
          </w:tcPr>
          <w:p w:rsidR="007E36D3" w:rsidRDefault="007E36D3" w:rsidP="007E36D3">
            <w:pPr>
              <w:pStyle w:val="a3"/>
              <w:widowControl/>
              <w:numPr>
                <w:ilvl w:val="0"/>
                <w:numId w:val="49"/>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規劃設計成本是否符合預算額度。</w:t>
            </w:r>
          </w:p>
          <w:p w:rsidR="007E36D3" w:rsidRDefault="007E36D3" w:rsidP="007E36D3">
            <w:pPr>
              <w:pStyle w:val="a3"/>
              <w:widowControl/>
              <w:numPr>
                <w:ilvl w:val="0"/>
                <w:numId w:val="49"/>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契約編列數量計算與圖說核算是否符合。</w:t>
            </w:r>
          </w:p>
          <w:p w:rsidR="007E36D3" w:rsidRDefault="007E36D3" w:rsidP="007E36D3">
            <w:pPr>
              <w:pStyle w:val="a3"/>
              <w:widowControl/>
              <w:numPr>
                <w:ilvl w:val="0"/>
                <w:numId w:val="49"/>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單價分析表施工項目是否有重複編列情形。</w:t>
            </w:r>
          </w:p>
          <w:p w:rsidR="007E36D3" w:rsidRDefault="007E36D3">
            <w:pPr>
              <w:widowControl/>
              <w:spacing w:line="320" w:lineRule="exact"/>
              <w:ind w:left="360" w:hangingChars="150" w:hanging="360"/>
              <w:rPr>
                <w:rFonts w:ascii="Times New Roman" w:eastAsia="標楷體" w:hAnsi="Times New Roman" w:cs="Times New Roman"/>
                <w:szCs w:val="24"/>
              </w:rPr>
            </w:pPr>
            <w:r>
              <w:rPr>
                <w:rFonts w:ascii="Times New Roman" w:eastAsia="標楷體" w:hAnsi="Times New Roman" w:cs="Times New Roman"/>
                <w:szCs w:val="24"/>
              </w:rPr>
              <w:t>4</w:t>
            </w:r>
            <w:r>
              <w:rPr>
                <w:rFonts w:ascii="Times New Roman" w:eastAsia="標楷體" w:hAnsi="Times New Roman" w:cs="Times New Roman" w:hint="eastAsia"/>
                <w:szCs w:val="24"/>
              </w:rPr>
              <w:t>、選用工法、材料設備、結構系統及尺寸規模是否合理，是否有過度設計情形。</w:t>
            </w:r>
          </w:p>
          <w:p w:rsidR="007E36D3" w:rsidRDefault="007E36D3">
            <w:pPr>
              <w:widowControl/>
              <w:spacing w:line="320" w:lineRule="exact"/>
              <w:rPr>
                <w:rFonts w:ascii="Times New Roman" w:eastAsia="標楷體" w:hAnsi="Times New Roman" w:cs="Times New Roman"/>
                <w:szCs w:val="24"/>
              </w:rPr>
            </w:pPr>
            <w:r>
              <w:rPr>
                <w:rFonts w:ascii="Times New Roman" w:eastAsia="標楷體" w:hAnsi="Times New Roman" w:cs="Times New Roman"/>
                <w:szCs w:val="24"/>
              </w:rPr>
              <w:t>5</w:t>
            </w:r>
            <w:r>
              <w:rPr>
                <w:rFonts w:ascii="Times New Roman" w:eastAsia="標楷體" w:hAnsi="Times New Roman" w:cs="Times New Roman" w:hint="eastAsia"/>
                <w:szCs w:val="24"/>
              </w:rPr>
              <w:t>、預算單價是否進行市場調查。</w:t>
            </w:r>
          </w:p>
          <w:p w:rsidR="007E36D3" w:rsidRDefault="007E36D3">
            <w:pPr>
              <w:widowControl/>
              <w:spacing w:line="320" w:lineRule="exact"/>
              <w:rPr>
                <w:rFonts w:ascii="Times New Roman" w:eastAsia="標楷體" w:hAnsi="Times New Roman" w:cs="Times New Roman"/>
                <w:szCs w:val="24"/>
              </w:rPr>
            </w:pPr>
            <w:r>
              <w:rPr>
                <w:rFonts w:ascii="Times New Roman" w:eastAsia="標楷體" w:hAnsi="Times New Roman" w:cs="Times New Roman"/>
                <w:szCs w:val="24"/>
              </w:rPr>
              <w:t>6</w:t>
            </w:r>
            <w:r>
              <w:rPr>
                <w:rFonts w:ascii="Times New Roman" w:eastAsia="標楷體" w:hAnsi="Times New Roman" w:cs="Times New Roman" w:hint="eastAsia"/>
                <w:szCs w:val="24"/>
              </w:rPr>
              <w:t>、其他。</w:t>
            </w:r>
          </w:p>
        </w:tc>
        <w:tc>
          <w:tcPr>
            <w:tcW w:w="992" w:type="dxa"/>
            <w:tcBorders>
              <w:top w:val="single" w:sz="4" w:space="0" w:color="auto"/>
              <w:left w:val="single" w:sz="4" w:space="0" w:color="auto"/>
              <w:bottom w:val="single" w:sz="4" w:space="0" w:color="auto"/>
              <w:right w:val="single" w:sz="4" w:space="0" w:color="auto"/>
            </w:tcBorders>
          </w:tcPr>
          <w:p w:rsidR="007E36D3" w:rsidRDefault="007E36D3">
            <w:pPr>
              <w:widowControl/>
              <w:rPr>
                <w:rFonts w:ascii="Times New Roman" w:eastAsia="標楷體" w:hAnsi="Times New Roman" w:cs="Times New Roman"/>
                <w:szCs w:val="24"/>
              </w:rPr>
            </w:pPr>
          </w:p>
        </w:tc>
        <w:bookmarkEnd w:id="1"/>
      </w:tr>
    </w:tbl>
    <w:p w:rsidR="00087273" w:rsidRPr="00275EAD" w:rsidRDefault="00087273" w:rsidP="007E36D3">
      <w:pPr>
        <w:widowControl/>
        <w:rPr>
          <w:rFonts w:ascii="標楷體" w:eastAsia="標楷體" w:hAnsi="標楷體" w:hint="eastAsia"/>
          <w:sz w:val="28"/>
          <w:szCs w:val="28"/>
        </w:rPr>
      </w:pPr>
    </w:p>
    <w:sectPr w:rsidR="00087273" w:rsidRPr="00275EAD" w:rsidSect="00275EAD">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884" w:rsidRDefault="00726884" w:rsidP="00107D55">
      <w:r>
        <w:separator/>
      </w:r>
    </w:p>
  </w:endnote>
  <w:endnote w:type="continuationSeparator" w:id="0">
    <w:p w:rsidR="00726884" w:rsidRDefault="00726884" w:rsidP="0010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D55" w:rsidRPr="000F4AD0" w:rsidRDefault="00107D55">
    <w:pPr>
      <w:pStyle w:val="a9"/>
      <w:jc w:val="center"/>
      <w:rPr>
        <w:rFonts w:ascii="標楷體" w:eastAsia="標楷體" w:hAnsi="標楷體"/>
      </w:rPr>
    </w:pPr>
  </w:p>
  <w:p w:rsidR="00107D55" w:rsidRDefault="00107D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884" w:rsidRDefault="00726884" w:rsidP="00107D55">
      <w:r>
        <w:separator/>
      </w:r>
    </w:p>
  </w:footnote>
  <w:footnote w:type="continuationSeparator" w:id="0">
    <w:p w:rsidR="00726884" w:rsidRDefault="00726884" w:rsidP="00107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B9F"/>
    <w:multiLevelType w:val="multilevel"/>
    <w:tmpl w:val="BF2236E0"/>
    <w:lvl w:ilvl="0">
      <w:start w:val="2"/>
      <w:numFmt w:val="taiwaneseCountingThousand"/>
      <w:lvlText w:val="%1、"/>
      <w:lvlJc w:val="left"/>
      <w:pPr>
        <w:ind w:left="794" w:hanging="450"/>
      </w:pPr>
      <w:rPr>
        <w:rFonts w:hint="default"/>
      </w:rPr>
    </w:lvl>
    <w:lvl w:ilvl="1">
      <w:start w:val="1"/>
      <w:numFmt w:val="ideographTraditional"/>
      <w:lvlText w:val="%2、"/>
      <w:lvlJc w:val="left"/>
      <w:pPr>
        <w:ind w:left="1304" w:hanging="480"/>
      </w:pPr>
    </w:lvl>
    <w:lvl w:ilvl="2">
      <w:start w:val="1"/>
      <w:numFmt w:val="lowerRoman"/>
      <w:lvlText w:val="%3."/>
      <w:lvlJc w:val="right"/>
      <w:pPr>
        <w:ind w:left="1784" w:hanging="480"/>
      </w:pPr>
    </w:lvl>
    <w:lvl w:ilvl="3">
      <w:start w:val="1"/>
      <w:numFmt w:val="decimal"/>
      <w:lvlText w:val="%4."/>
      <w:lvlJc w:val="left"/>
      <w:pPr>
        <w:ind w:left="2264" w:hanging="480"/>
      </w:pPr>
    </w:lvl>
    <w:lvl w:ilvl="4">
      <w:start w:val="1"/>
      <w:numFmt w:val="ideographTraditional"/>
      <w:lvlText w:val="%5、"/>
      <w:lvlJc w:val="left"/>
      <w:pPr>
        <w:ind w:left="2744" w:hanging="480"/>
      </w:pPr>
    </w:lvl>
    <w:lvl w:ilvl="5">
      <w:start w:val="1"/>
      <w:numFmt w:val="lowerRoman"/>
      <w:lvlText w:val="%6."/>
      <w:lvlJc w:val="right"/>
      <w:pPr>
        <w:ind w:left="3224" w:hanging="480"/>
      </w:pPr>
    </w:lvl>
    <w:lvl w:ilvl="6">
      <w:start w:val="1"/>
      <w:numFmt w:val="decimal"/>
      <w:lvlText w:val="%7."/>
      <w:lvlJc w:val="left"/>
      <w:pPr>
        <w:ind w:left="3704" w:hanging="480"/>
      </w:pPr>
    </w:lvl>
    <w:lvl w:ilvl="7">
      <w:start w:val="1"/>
      <w:numFmt w:val="ideographTraditional"/>
      <w:lvlText w:val="%8、"/>
      <w:lvlJc w:val="left"/>
      <w:pPr>
        <w:ind w:left="4184" w:hanging="480"/>
      </w:pPr>
    </w:lvl>
    <w:lvl w:ilvl="8">
      <w:start w:val="1"/>
      <w:numFmt w:val="lowerRoman"/>
      <w:lvlText w:val="%9."/>
      <w:lvlJc w:val="right"/>
      <w:pPr>
        <w:ind w:left="4664" w:hanging="480"/>
      </w:pPr>
    </w:lvl>
  </w:abstractNum>
  <w:abstractNum w:abstractNumId="1" w15:restartNumberingAfterBreak="0">
    <w:nsid w:val="011C4ADF"/>
    <w:multiLevelType w:val="hybridMultilevel"/>
    <w:tmpl w:val="085E4998"/>
    <w:lvl w:ilvl="0" w:tplc="90B608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46E1E5C"/>
    <w:multiLevelType w:val="hybridMultilevel"/>
    <w:tmpl w:val="EECA54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054788"/>
    <w:multiLevelType w:val="hybridMultilevel"/>
    <w:tmpl w:val="6F7EB2BC"/>
    <w:lvl w:ilvl="0" w:tplc="670A73BC">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4" w15:restartNumberingAfterBreak="0">
    <w:nsid w:val="0AF62CC2"/>
    <w:multiLevelType w:val="hybridMultilevel"/>
    <w:tmpl w:val="6F7EB2BC"/>
    <w:lvl w:ilvl="0" w:tplc="670A73BC">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5" w15:restartNumberingAfterBreak="0">
    <w:nsid w:val="0BE62A9B"/>
    <w:multiLevelType w:val="hybridMultilevel"/>
    <w:tmpl w:val="CED8F23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E0F7CFF"/>
    <w:multiLevelType w:val="hybridMultilevel"/>
    <w:tmpl w:val="A4DE572C"/>
    <w:lvl w:ilvl="0" w:tplc="1938C9EA">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7" w15:restartNumberingAfterBreak="0">
    <w:nsid w:val="121867F4"/>
    <w:multiLevelType w:val="hybridMultilevel"/>
    <w:tmpl w:val="8D6A8F4C"/>
    <w:lvl w:ilvl="0" w:tplc="72B2B91E">
      <w:start w:val="1"/>
      <w:numFmt w:val="decimal"/>
      <w:lvlText w:val="%1、"/>
      <w:lvlJc w:val="left"/>
      <w:pPr>
        <w:ind w:left="1359" w:hanging="480"/>
      </w:pPr>
      <w:rPr>
        <w:rFonts w:hint="eastAsia"/>
      </w:rPr>
    </w:lvl>
    <w:lvl w:ilvl="1" w:tplc="04090019" w:tentative="1">
      <w:start w:val="1"/>
      <w:numFmt w:val="ideographTraditional"/>
      <w:lvlText w:val="%2、"/>
      <w:lvlJc w:val="left"/>
      <w:pPr>
        <w:ind w:left="1839" w:hanging="480"/>
      </w:pPr>
    </w:lvl>
    <w:lvl w:ilvl="2" w:tplc="0409001B" w:tentative="1">
      <w:start w:val="1"/>
      <w:numFmt w:val="lowerRoman"/>
      <w:lvlText w:val="%3."/>
      <w:lvlJc w:val="right"/>
      <w:pPr>
        <w:ind w:left="2319" w:hanging="480"/>
      </w:pPr>
    </w:lvl>
    <w:lvl w:ilvl="3" w:tplc="0409000F" w:tentative="1">
      <w:start w:val="1"/>
      <w:numFmt w:val="decimal"/>
      <w:lvlText w:val="%4."/>
      <w:lvlJc w:val="left"/>
      <w:pPr>
        <w:ind w:left="2799" w:hanging="480"/>
      </w:pPr>
    </w:lvl>
    <w:lvl w:ilvl="4" w:tplc="04090019" w:tentative="1">
      <w:start w:val="1"/>
      <w:numFmt w:val="ideographTraditional"/>
      <w:lvlText w:val="%5、"/>
      <w:lvlJc w:val="left"/>
      <w:pPr>
        <w:ind w:left="3279" w:hanging="480"/>
      </w:pPr>
    </w:lvl>
    <w:lvl w:ilvl="5" w:tplc="0409001B" w:tentative="1">
      <w:start w:val="1"/>
      <w:numFmt w:val="lowerRoman"/>
      <w:lvlText w:val="%6."/>
      <w:lvlJc w:val="right"/>
      <w:pPr>
        <w:ind w:left="3759" w:hanging="480"/>
      </w:pPr>
    </w:lvl>
    <w:lvl w:ilvl="6" w:tplc="0409000F" w:tentative="1">
      <w:start w:val="1"/>
      <w:numFmt w:val="decimal"/>
      <w:lvlText w:val="%7."/>
      <w:lvlJc w:val="left"/>
      <w:pPr>
        <w:ind w:left="4239" w:hanging="480"/>
      </w:pPr>
    </w:lvl>
    <w:lvl w:ilvl="7" w:tplc="04090019" w:tentative="1">
      <w:start w:val="1"/>
      <w:numFmt w:val="ideographTraditional"/>
      <w:lvlText w:val="%8、"/>
      <w:lvlJc w:val="left"/>
      <w:pPr>
        <w:ind w:left="4719" w:hanging="480"/>
      </w:pPr>
    </w:lvl>
    <w:lvl w:ilvl="8" w:tplc="0409001B" w:tentative="1">
      <w:start w:val="1"/>
      <w:numFmt w:val="lowerRoman"/>
      <w:lvlText w:val="%9."/>
      <w:lvlJc w:val="right"/>
      <w:pPr>
        <w:ind w:left="5199" w:hanging="480"/>
      </w:pPr>
    </w:lvl>
  </w:abstractNum>
  <w:abstractNum w:abstractNumId="8" w15:restartNumberingAfterBreak="0">
    <w:nsid w:val="19771E12"/>
    <w:multiLevelType w:val="hybridMultilevel"/>
    <w:tmpl w:val="9F24BAAA"/>
    <w:lvl w:ilvl="0" w:tplc="E1FC1E1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C0476B5"/>
    <w:multiLevelType w:val="hybridMultilevel"/>
    <w:tmpl w:val="93D84C78"/>
    <w:lvl w:ilvl="0" w:tplc="AF96976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4B27C10"/>
    <w:multiLevelType w:val="hybridMultilevel"/>
    <w:tmpl w:val="93D84C78"/>
    <w:lvl w:ilvl="0" w:tplc="AF96976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8B727EC"/>
    <w:multiLevelType w:val="hybridMultilevel"/>
    <w:tmpl w:val="E2C0A0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142640"/>
    <w:multiLevelType w:val="hybridMultilevel"/>
    <w:tmpl w:val="9F24BAAA"/>
    <w:lvl w:ilvl="0" w:tplc="E1FC1E1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B2D1CA3"/>
    <w:multiLevelType w:val="hybridMultilevel"/>
    <w:tmpl w:val="CED8F23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B410AA5"/>
    <w:multiLevelType w:val="hybridMultilevel"/>
    <w:tmpl w:val="93D84C78"/>
    <w:lvl w:ilvl="0" w:tplc="AF96976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BEC2B24"/>
    <w:multiLevelType w:val="hybridMultilevel"/>
    <w:tmpl w:val="728AA3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A6145B"/>
    <w:multiLevelType w:val="hybridMultilevel"/>
    <w:tmpl w:val="A4DE572C"/>
    <w:lvl w:ilvl="0" w:tplc="1938C9EA">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17" w15:restartNumberingAfterBreak="0">
    <w:nsid w:val="38670120"/>
    <w:multiLevelType w:val="hybridMultilevel"/>
    <w:tmpl w:val="031466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8E90ECD"/>
    <w:multiLevelType w:val="hybridMultilevel"/>
    <w:tmpl w:val="085E4998"/>
    <w:lvl w:ilvl="0" w:tplc="90B608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D047A7D"/>
    <w:multiLevelType w:val="hybridMultilevel"/>
    <w:tmpl w:val="DB468F50"/>
    <w:lvl w:ilvl="0" w:tplc="C96AA33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DD2558"/>
    <w:multiLevelType w:val="hybridMultilevel"/>
    <w:tmpl w:val="7B1414F4"/>
    <w:lvl w:ilvl="0" w:tplc="B9D46844">
      <w:start w:val="1"/>
      <w:numFmt w:val="taiwaneseCountingThousand"/>
      <w:lvlText w:val="（%1）"/>
      <w:lvlJc w:val="left"/>
      <w:pPr>
        <w:tabs>
          <w:tab w:val="num" w:pos="7201"/>
        </w:tabs>
        <w:ind w:left="7201" w:hanging="855"/>
      </w:pPr>
      <w:rPr>
        <w:lang w:val="en-US"/>
      </w:rPr>
    </w:lvl>
    <w:lvl w:ilvl="1" w:tplc="87B83AE4">
      <w:start w:val="1"/>
      <w:numFmt w:val="taiwaneseCountingThousand"/>
      <w:lvlText w:val="（%2）"/>
      <w:lvlJc w:val="left"/>
      <w:pPr>
        <w:tabs>
          <w:tab w:val="num" w:pos="1328"/>
        </w:tabs>
        <w:ind w:left="1328" w:hanging="855"/>
      </w:pPr>
    </w:lvl>
    <w:lvl w:ilvl="2" w:tplc="715E8374">
      <w:start w:val="1"/>
      <w:numFmt w:val="decimal"/>
      <w:lvlText w:val="%3、"/>
      <w:lvlJc w:val="left"/>
      <w:pPr>
        <w:tabs>
          <w:tab w:val="num" w:pos="2063"/>
        </w:tabs>
        <w:ind w:left="2063" w:hanging="1110"/>
      </w:pPr>
      <w:rPr>
        <w:rFonts w:hint="eastAsia"/>
      </w:rPr>
    </w:lvl>
    <w:lvl w:ilvl="3" w:tplc="0409000F">
      <w:start w:val="1"/>
      <w:numFmt w:val="decimal"/>
      <w:lvlText w:val="%4."/>
      <w:lvlJc w:val="left"/>
      <w:pPr>
        <w:tabs>
          <w:tab w:val="num" w:pos="1913"/>
        </w:tabs>
        <w:ind w:left="1913" w:hanging="480"/>
      </w:pPr>
    </w:lvl>
    <w:lvl w:ilvl="4" w:tplc="04090019">
      <w:start w:val="1"/>
      <w:numFmt w:val="ideographTraditional"/>
      <w:lvlText w:val="%5、"/>
      <w:lvlJc w:val="left"/>
      <w:pPr>
        <w:tabs>
          <w:tab w:val="num" w:pos="2393"/>
        </w:tabs>
        <w:ind w:left="2393" w:hanging="480"/>
      </w:pPr>
    </w:lvl>
    <w:lvl w:ilvl="5" w:tplc="0409001B">
      <w:start w:val="1"/>
      <w:numFmt w:val="lowerRoman"/>
      <w:lvlText w:val="%6."/>
      <w:lvlJc w:val="right"/>
      <w:pPr>
        <w:tabs>
          <w:tab w:val="num" w:pos="2873"/>
        </w:tabs>
        <w:ind w:left="2873" w:hanging="480"/>
      </w:pPr>
    </w:lvl>
    <w:lvl w:ilvl="6" w:tplc="0409000F">
      <w:start w:val="1"/>
      <w:numFmt w:val="decimal"/>
      <w:lvlText w:val="%7."/>
      <w:lvlJc w:val="left"/>
      <w:pPr>
        <w:tabs>
          <w:tab w:val="num" w:pos="3353"/>
        </w:tabs>
        <w:ind w:left="3353" w:hanging="480"/>
      </w:pPr>
    </w:lvl>
    <w:lvl w:ilvl="7" w:tplc="04090019">
      <w:start w:val="1"/>
      <w:numFmt w:val="ideographTraditional"/>
      <w:lvlText w:val="%8、"/>
      <w:lvlJc w:val="left"/>
      <w:pPr>
        <w:tabs>
          <w:tab w:val="num" w:pos="3833"/>
        </w:tabs>
        <w:ind w:left="3833" w:hanging="480"/>
      </w:pPr>
    </w:lvl>
    <w:lvl w:ilvl="8" w:tplc="0409001B">
      <w:start w:val="1"/>
      <w:numFmt w:val="lowerRoman"/>
      <w:lvlText w:val="%9."/>
      <w:lvlJc w:val="right"/>
      <w:pPr>
        <w:tabs>
          <w:tab w:val="num" w:pos="4313"/>
        </w:tabs>
        <w:ind w:left="4313" w:hanging="480"/>
      </w:pPr>
    </w:lvl>
  </w:abstractNum>
  <w:abstractNum w:abstractNumId="21" w15:restartNumberingAfterBreak="0">
    <w:nsid w:val="45DA74A7"/>
    <w:multiLevelType w:val="hybridMultilevel"/>
    <w:tmpl w:val="F47A946E"/>
    <w:lvl w:ilvl="0" w:tplc="D50A8BDE">
      <w:start w:val="1"/>
      <w:numFmt w:val="taiwaneseCountingThousand"/>
      <w:lvlText w:val="(%1)"/>
      <w:lvlJc w:val="left"/>
      <w:pPr>
        <w:ind w:left="1047" w:hanging="480"/>
      </w:pPr>
      <w:rPr>
        <w:rFonts w:hint="eastAsia"/>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4D963D02"/>
    <w:multiLevelType w:val="hybridMultilevel"/>
    <w:tmpl w:val="7A825912"/>
    <w:lvl w:ilvl="0" w:tplc="5E48791A">
      <w:start w:val="1"/>
      <w:numFmt w:val="taiwaneseCountingThousand"/>
      <w:lvlText w:val="%1、"/>
      <w:lvlJc w:val="left"/>
      <w:pPr>
        <w:ind w:left="704" w:hanging="360"/>
      </w:pPr>
      <w:rPr>
        <w:rFonts w:hint="default"/>
        <w:lang w:val="en-US"/>
      </w:rPr>
    </w:lvl>
    <w:lvl w:ilvl="1" w:tplc="02F25D52">
      <w:start w:val="1"/>
      <w:numFmt w:val="taiwaneseCountingThousand"/>
      <w:lvlText w:val="(%2)"/>
      <w:lvlJc w:val="left"/>
      <w:pPr>
        <w:ind w:left="-1390" w:hanging="480"/>
      </w:pPr>
      <w:rPr>
        <w:rFonts w:hint="default"/>
      </w:rPr>
    </w:lvl>
    <w:lvl w:ilvl="2" w:tplc="0409001B" w:tentative="1">
      <w:start w:val="1"/>
      <w:numFmt w:val="lowerRoman"/>
      <w:lvlText w:val="%3."/>
      <w:lvlJc w:val="right"/>
      <w:pPr>
        <w:ind w:left="-910" w:hanging="480"/>
      </w:pPr>
    </w:lvl>
    <w:lvl w:ilvl="3" w:tplc="0409000F" w:tentative="1">
      <w:start w:val="1"/>
      <w:numFmt w:val="decimal"/>
      <w:lvlText w:val="%4."/>
      <w:lvlJc w:val="left"/>
      <w:pPr>
        <w:ind w:left="-430" w:hanging="480"/>
      </w:pPr>
    </w:lvl>
    <w:lvl w:ilvl="4" w:tplc="04090019" w:tentative="1">
      <w:start w:val="1"/>
      <w:numFmt w:val="ideographTraditional"/>
      <w:lvlText w:val="%5、"/>
      <w:lvlJc w:val="left"/>
      <w:pPr>
        <w:ind w:left="50" w:hanging="480"/>
      </w:pPr>
    </w:lvl>
    <w:lvl w:ilvl="5" w:tplc="0409001B" w:tentative="1">
      <w:start w:val="1"/>
      <w:numFmt w:val="lowerRoman"/>
      <w:lvlText w:val="%6."/>
      <w:lvlJc w:val="right"/>
      <w:pPr>
        <w:ind w:left="530" w:hanging="480"/>
      </w:pPr>
    </w:lvl>
    <w:lvl w:ilvl="6" w:tplc="0409000F" w:tentative="1">
      <w:start w:val="1"/>
      <w:numFmt w:val="decimal"/>
      <w:lvlText w:val="%7."/>
      <w:lvlJc w:val="left"/>
      <w:pPr>
        <w:ind w:left="1010" w:hanging="480"/>
      </w:pPr>
    </w:lvl>
    <w:lvl w:ilvl="7" w:tplc="04090019" w:tentative="1">
      <w:start w:val="1"/>
      <w:numFmt w:val="ideographTraditional"/>
      <w:lvlText w:val="%8、"/>
      <w:lvlJc w:val="left"/>
      <w:pPr>
        <w:ind w:left="1490" w:hanging="480"/>
      </w:pPr>
    </w:lvl>
    <w:lvl w:ilvl="8" w:tplc="0409001B" w:tentative="1">
      <w:start w:val="1"/>
      <w:numFmt w:val="lowerRoman"/>
      <w:lvlText w:val="%9."/>
      <w:lvlJc w:val="right"/>
      <w:pPr>
        <w:ind w:left="1970" w:hanging="480"/>
      </w:pPr>
    </w:lvl>
  </w:abstractNum>
  <w:abstractNum w:abstractNumId="23" w15:restartNumberingAfterBreak="0">
    <w:nsid w:val="4FDE4AE3"/>
    <w:multiLevelType w:val="hybridMultilevel"/>
    <w:tmpl w:val="A4DE572C"/>
    <w:lvl w:ilvl="0" w:tplc="1938C9EA">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24" w15:restartNumberingAfterBreak="0">
    <w:nsid w:val="508E23B1"/>
    <w:multiLevelType w:val="hybridMultilevel"/>
    <w:tmpl w:val="03589986"/>
    <w:lvl w:ilvl="0" w:tplc="03124B64">
      <w:start w:val="2"/>
      <w:numFmt w:val="taiwaneseCountingThousand"/>
      <w:lvlText w:val="%1、"/>
      <w:lvlJc w:val="left"/>
      <w:pPr>
        <w:ind w:left="794" w:hanging="450"/>
      </w:pPr>
      <w:rPr>
        <w:rFonts w:hint="default"/>
      </w:rPr>
    </w:lvl>
    <w:lvl w:ilvl="1" w:tplc="04090019" w:tentative="1">
      <w:start w:val="1"/>
      <w:numFmt w:val="ideographTraditional"/>
      <w:lvlText w:val="%2、"/>
      <w:lvlJc w:val="left"/>
      <w:pPr>
        <w:ind w:left="1304" w:hanging="480"/>
      </w:pPr>
    </w:lvl>
    <w:lvl w:ilvl="2" w:tplc="0409001B" w:tentative="1">
      <w:start w:val="1"/>
      <w:numFmt w:val="lowerRoman"/>
      <w:lvlText w:val="%3."/>
      <w:lvlJc w:val="right"/>
      <w:pPr>
        <w:ind w:left="1784" w:hanging="480"/>
      </w:pPr>
    </w:lvl>
    <w:lvl w:ilvl="3" w:tplc="0409000F" w:tentative="1">
      <w:start w:val="1"/>
      <w:numFmt w:val="decimal"/>
      <w:lvlText w:val="%4."/>
      <w:lvlJc w:val="left"/>
      <w:pPr>
        <w:ind w:left="2264" w:hanging="480"/>
      </w:pPr>
    </w:lvl>
    <w:lvl w:ilvl="4" w:tplc="04090019" w:tentative="1">
      <w:start w:val="1"/>
      <w:numFmt w:val="ideographTraditional"/>
      <w:lvlText w:val="%5、"/>
      <w:lvlJc w:val="left"/>
      <w:pPr>
        <w:ind w:left="2744" w:hanging="480"/>
      </w:pPr>
    </w:lvl>
    <w:lvl w:ilvl="5" w:tplc="0409001B" w:tentative="1">
      <w:start w:val="1"/>
      <w:numFmt w:val="lowerRoman"/>
      <w:lvlText w:val="%6."/>
      <w:lvlJc w:val="right"/>
      <w:pPr>
        <w:ind w:left="3224" w:hanging="480"/>
      </w:pPr>
    </w:lvl>
    <w:lvl w:ilvl="6" w:tplc="0409000F" w:tentative="1">
      <w:start w:val="1"/>
      <w:numFmt w:val="decimal"/>
      <w:lvlText w:val="%7."/>
      <w:lvlJc w:val="left"/>
      <w:pPr>
        <w:ind w:left="3704" w:hanging="480"/>
      </w:pPr>
    </w:lvl>
    <w:lvl w:ilvl="7" w:tplc="04090019" w:tentative="1">
      <w:start w:val="1"/>
      <w:numFmt w:val="ideographTraditional"/>
      <w:lvlText w:val="%8、"/>
      <w:lvlJc w:val="left"/>
      <w:pPr>
        <w:ind w:left="4184" w:hanging="480"/>
      </w:pPr>
    </w:lvl>
    <w:lvl w:ilvl="8" w:tplc="0409001B" w:tentative="1">
      <w:start w:val="1"/>
      <w:numFmt w:val="lowerRoman"/>
      <w:lvlText w:val="%9."/>
      <w:lvlJc w:val="right"/>
      <w:pPr>
        <w:ind w:left="4664" w:hanging="480"/>
      </w:pPr>
    </w:lvl>
  </w:abstractNum>
  <w:abstractNum w:abstractNumId="25" w15:restartNumberingAfterBreak="0">
    <w:nsid w:val="50DE1C1F"/>
    <w:multiLevelType w:val="hybridMultilevel"/>
    <w:tmpl w:val="6F7EB2BC"/>
    <w:lvl w:ilvl="0" w:tplc="670A73BC">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26" w15:restartNumberingAfterBreak="0">
    <w:nsid w:val="51CD5960"/>
    <w:multiLevelType w:val="hybridMultilevel"/>
    <w:tmpl w:val="1884CAE0"/>
    <w:lvl w:ilvl="0" w:tplc="2D0A658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53BF1AC8"/>
    <w:multiLevelType w:val="hybridMultilevel"/>
    <w:tmpl w:val="87FEC2EA"/>
    <w:lvl w:ilvl="0" w:tplc="B8BCA5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F548F3"/>
    <w:multiLevelType w:val="hybridMultilevel"/>
    <w:tmpl w:val="4E325D40"/>
    <w:lvl w:ilvl="0" w:tplc="3C283C50">
      <w:start w:val="9"/>
      <w:numFmt w:val="decimal"/>
      <w:lvlText w:val="%1、"/>
      <w:lvlJc w:val="left"/>
      <w:pPr>
        <w:ind w:left="360" w:hanging="360"/>
      </w:pPr>
      <w:rPr>
        <w:rFonts w:ascii="標楷體" w:eastAsia="Times New Roman" w:hAnsi="標楷體" w:cstheme="minorBidi"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0514508"/>
    <w:multiLevelType w:val="hybridMultilevel"/>
    <w:tmpl w:val="5710773E"/>
    <w:lvl w:ilvl="0" w:tplc="68A8945E">
      <w:start w:val="1"/>
      <w:numFmt w:val="decimal"/>
      <w:lvlText w:val="%1、"/>
      <w:lvlJc w:val="left"/>
      <w:pPr>
        <w:ind w:left="1359" w:hanging="480"/>
      </w:pPr>
      <w:rPr>
        <w:rFonts w:hint="eastAsia"/>
      </w:rPr>
    </w:lvl>
    <w:lvl w:ilvl="1" w:tplc="04090019" w:tentative="1">
      <w:start w:val="1"/>
      <w:numFmt w:val="ideographTraditional"/>
      <w:lvlText w:val="%2、"/>
      <w:lvlJc w:val="left"/>
      <w:pPr>
        <w:ind w:left="1839" w:hanging="480"/>
      </w:pPr>
    </w:lvl>
    <w:lvl w:ilvl="2" w:tplc="0409001B" w:tentative="1">
      <w:start w:val="1"/>
      <w:numFmt w:val="lowerRoman"/>
      <w:lvlText w:val="%3."/>
      <w:lvlJc w:val="right"/>
      <w:pPr>
        <w:ind w:left="2319" w:hanging="480"/>
      </w:pPr>
    </w:lvl>
    <w:lvl w:ilvl="3" w:tplc="0409000F" w:tentative="1">
      <w:start w:val="1"/>
      <w:numFmt w:val="decimal"/>
      <w:lvlText w:val="%4."/>
      <w:lvlJc w:val="left"/>
      <w:pPr>
        <w:ind w:left="2799" w:hanging="480"/>
      </w:pPr>
    </w:lvl>
    <w:lvl w:ilvl="4" w:tplc="04090019" w:tentative="1">
      <w:start w:val="1"/>
      <w:numFmt w:val="ideographTraditional"/>
      <w:lvlText w:val="%5、"/>
      <w:lvlJc w:val="left"/>
      <w:pPr>
        <w:ind w:left="3279" w:hanging="480"/>
      </w:pPr>
    </w:lvl>
    <w:lvl w:ilvl="5" w:tplc="0409001B" w:tentative="1">
      <w:start w:val="1"/>
      <w:numFmt w:val="lowerRoman"/>
      <w:lvlText w:val="%6."/>
      <w:lvlJc w:val="right"/>
      <w:pPr>
        <w:ind w:left="3759" w:hanging="480"/>
      </w:pPr>
    </w:lvl>
    <w:lvl w:ilvl="6" w:tplc="0409000F" w:tentative="1">
      <w:start w:val="1"/>
      <w:numFmt w:val="decimal"/>
      <w:lvlText w:val="%7."/>
      <w:lvlJc w:val="left"/>
      <w:pPr>
        <w:ind w:left="4239" w:hanging="480"/>
      </w:pPr>
    </w:lvl>
    <w:lvl w:ilvl="7" w:tplc="04090019" w:tentative="1">
      <w:start w:val="1"/>
      <w:numFmt w:val="ideographTraditional"/>
      <w:lvlText w:val="%8、"/>
      <w:lvlJc w:val="left"/>
      <w:pPr>
        <w:ind w:left="4719" w:hanging="480"/>
      </w:pPr>
    </w:lvl>
    <w:lvl w:ilvl="8" w:tplc="0409001B" w:tentative="1">
      <w:start w:val="1"/>
      <w:numFmt w:val="lowerRoman"/>
      <w:lvlText w:val="%9."/>
      <w:lvlJc w:val="right"/>
      <w:pPr>
        <w:ind w:left="5199" w:hanging="480"/>
      </w:pPr>
    </w:lvl>
  </w:abstractNum>
  <w:abstractNum w:abstractNumId="30" w15:restartNumberingAfterBreak="0">
    <w:nsid w:val="62970C94"/>
    <w:multiLevelType w:val="hybridMultilevel"/>
    <w:tmpl w:val="F0300326"/>
    <w:lvl w:ilvl="0" w:tplc="8EA83C90">
      <w:start w:val="1"/>
      <w:numFmt w:val="taiwaneseCountingThousand"/>
      <w:lvlText w:val="(%1)"/>
      <w:lvlJc w:val="left"/>
      <w:pPr>
        <w:ind w:left="1380" w:hanging="720"/>
      </w:pPr>
      <w:rPr>
        <w:rFonts w:cs="Times New Roman"/>
        <w:color w:val="auto"/>
      </w:rPr>
    </w:lvl>
    <w:lvl w:ilvl="1" w:tplc="04090019">
      <w:start w:val="1"/>
      <w:numFmt w:val="ideographTraditional"/>
      <w:lvlText w:val="%2、"/>
      <w:lvlJc w:val="left"/>
      <w:pPr>
        <w:ind w:left="1620" w:hanging="480"/>
      </w:pPr>
    </w:lvl>
    <w:lvl w:ilvl="2" w:tplc="0409001B">
      <w:start w:val="1"/>
      <w:numFmt w:val="lowerRoman"/>
      <w:lvlText w:val="%3."/>
      <w:lvlJc w:val="right"/>
      <w:pPr>
        <w:ind w:left="2100" w:hanging="480"/>
      </w:pPr>
    </w:lvl>
    <w:lvl w:ilvl="3" w:tplc="0409000F">
      <w:start w:val="1"/>
      <w:numFmt w:val="decimal"/>
      <w:lvlText w:val="%4."/>
      <w:lvlJc w:val="left"/>
      <w:pPr>
        <w:ind w:left="2580" w:hanging="480"/>
      </w:pPr>
    </w:lvl>
    <w:lvl w:ilvl="4" w:tplc="04090019">
      <w:start w:val="1"/>
      <w:numFmt w:val="ideographTraditional"/>
      <w:lvlText w:val="%5、"/>
      <w:lvlJc w:val="left"/>
      <w:pPr>
        <w:ind w:left="3060" w:hanging="480"/>
      </w:pPr>
    </w:lvl>
    <w:lvl w:ilvl="5" w:tplc="0409001B">
      <w:start w:val="1"/>
      <w:numFmt w:val="lowerRoman"/>
      <w:lvlText w:val="%6."/>
      <w:lvlJc w:val="right"/>
      <w:pPr>
        <w:ind w:left="3540" w:hanging="480"/>
      </w:pPr>
    </w:lvl>
    <w:lvl w:ilvl="6" w:tplc="0409000F">
      <w:start w:val="1"/>
      <w:numFmt w:val="decimal"/>
      <w:lvlText w:val="%7."/>
      <w:lvlJc w:val="left"/>
      <w:pPr>
        <w:ind w:left="4020" w:hanging="480"/>
      </w:pPr>
    </w:lvl>
    <w:lvl w:ilvl="7" w:tplc="04090019">
      <w:start w:val="1"/>
      <w:numFmt w:val="ideographTraditional"/>
      <w:lvlText w:val="%8、"/>
      <w:lvlJc w:val="left"/>
      <w:pPr>
        <w:ind w:left="4500" w:hanging="480"/>
      </w:pPr>
    </w:lvl>
    <w:lvl w:ilvl="8" w:tplc="0409001B">
      <w:start w:val="1"/>
      <w:numFmt w:val="lowerRoman"/>
      <w:lvlText w:val="%9."/>
      <w:lvlJc w:val="right"/>
      <w:pPr>
        <w:ind w:left="4980" w:hanging="480"/>
      </w:pPr>
    </w:lvl>
  </w:abstractNum>
  <w:abstractNum w:abstractNumId="31" w15:restartNumberingAfterBreak="0">
    <w:nsid w:val="659E3A42"/>
    <w:multiLevelType w:val="hybridMultilevel"/>
    <w:tmpl w:val="9F24BAAA"/>
    <w:lvl w:ilvl="0" w:tplc="E1FC1E1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68E14690"/>
    <w:multiLevelType w:val="hybridMultilevel"/>
    <w:tmpl w:val="66CE78AE"/>
    <w:lvl w:ilvl="0" w:tplc="2D0A658C">
      <w:start w:val="1"/>
      <w:numFmt w:val="taiwaneseCountingThousand"/>
      <w:lvlText w:val="(%1)"/>
      <w:lvlJc w:val="left"/>
      <w:pPr>
        <w:ind w:left="3032" w:hanging="480"/>
      </w:pPr>
      <w:rPr>
        <w:rFonts w:hint="eastAsia"/>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3" w15:restartNumberingAfterBreak="0">
    <w:nsid w:val="6BD51667"/>
    <w:multiLevelType w:val="hybridMultilevel"/>
    <w:tmpl w:val="085E4998"/>
    <w:lvl w:ilvl="0" w:tplc="90B608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24E79D7"/>
    <w:multiLevelType w:val="hybridMultilevel"/>
    <w:tmpl w:val="E6E6B45A"/>
    <w:lvl w:ilvl="0" w:tplc="9B6C14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8D5FB3"/>
    <w:multiLevelType w:val="hybridMultilevel"/>
    <w:tmpl w:val="29A022C2"/>
    <w:lvl w:ilvl="0" w:tplc="9B6C14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F0425D"/>
    <w:multiLevelType w:val="hybridMultilevel"/>
    <w:tmpl w:val="CFDCBFA2"/>
    <w:lvl w:ilvl="0" w:tplc="26CA6D3C">
      <w:start w:val="1"/>
      <w:numFmt w:val="taiwaneseCountingThousand"/>
      <w:lvlText w:val="%1、"/>
      <w:lvlJc w:val="left"/>
      <w:pPr>
        <w:ind w:left="3131" w:hanging="720"/>
      </w:pPr>
      <w:rPr>
        <w:rFonts w:ascii="標楷體" w:eastAsia="標楷體" w:hAnsi="標楷體" w:hint="default"/>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37" w15:restartNumberingAfterBreak="0">
    <w:nsid w:val="7F9B383E"/>
    <w:multiLevelType w:val="hybridMultilevel"/>
    <w:tmpl w:val="0AC68C9A"/>
    <w:lvl w:ilvl="0" w:tplc="B93A8740">
      <w:start w:val="8"/>
      <w:numFmt w:val="taiwaneseCountingThousand"/>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6"/>
  </w:num>
  <w:num w:numId="2">
    <w:abstractNumId w:val="13"/>
  </w:num>
  <w:num w:numId="3">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15"/>
  </w:num>
  <w:num w:numId="8">
    <w:abstractNumId w:val="17"/>
  </w:num>
  <w:num w:numId="9">
    <w:abstractNumId w:val="5"/>
  </w:num>
  <w:num w:numId="10">
    <w:abstractNumId w:val="20"/>
  </w:num>
  <w:num w:numId="11">
    <w:abstractNumId w:val="22"/>
  </w:num>
  <w:num w:numId="12">
    <w:abstractNumId w:val="21"/>
  </w:num>
  <w:num w:numId="13">
    <w:abstractNumId w:val="24"/>
  </w:num>
  <w:num w:numId="14">
    <w:abstractNumId w:val="32"/>
  </w:num>
  <w:num w:numId="15">
    <w:abstractNumId w:val="29"/>
  </w:num>
  <w:num w:numId="16">
    <w:abstractNumId w:val="7"/>
  </w:num>
  <w:num w:numId="17">
    <w:abstractNumId w:val="0"/>
  </w:num>
  <w:num w:numId="18">
    <w:abstractNumId w:val="2"/>
  </w:num>
  <w:num w:numId="19">
    <w:abstractNumId w:val="19"/>
  </w:num>
  <w:num w:numId="20">
    <w:abstractNumId w:val="27"/>
  </w:num>
  <w:num w:numId="21">
    <w:abstractNumId w:val="35"/>
  </w:num>
  <w:num w:numId="22">
    <w:abstractNumId w:val="34"/>
  </w:num>
  <w:num w:numId="23">
    <w:abstractNumId w:val="26"/>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2"/>
  </w:num>
  <w:num w:numId="37">
    <w:abstractNumId w:val="18"/>
  </w:num>
  <w:num w:numId="38">
    <w:abstractNumId w:val="1"/>
  </w:num>
  <w:num w:numId="39">
    <w:abstractNumId w:val="8"/>
  </w:num>
  <w:num w:numId="40">
    <w:abstractNumId w:val="33"/>
  </w:num>
  <w:num w:numId="41">
    <w:abstractNumId w:val="10"/>
  </w:num>
  <w:num w:numId="42">
    <w:abstractNumId w:val="14"/>
  </w:num>
  <w:num w:numId="43">
    <w:abstractNumId w:val="3"/>
  </w:num>
  <w:num w:numId="44">
    <w:abstractNumId w:val="4"/>
  </w:num>
  <w:num w:numId="45">
    <w:abstractNumId w:val="16"/>
  </w:num>
  <w:num w:numId="46">
    <w:abstractNumId w:val="23"/>
  </w:num>
  <w:num w:numId="47">
    <w:abstractNumId w:val="9"/>
  </w:num>
  <w:num w:numId="48">
    <w:abstractNumId w:val="2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E2"/>
    <w:rsid w:val="00036B88"/>
    <w:rsid w:val="0008169B"/>
    <w:rsid w:val="00087273"/>
    <w:rsid w:val="000B17DB"/>
    <w:rsid w:val="000F4AD0"/>
    <w:rsid w:val="00107D55"/>
    <w:rsid w:val="00116C0D"/>
    <w:rsid w:val="0013138D"/>
    <w:rsid w:val="001A1C1E"/>
    <w:rsid w:val="001A6742"/>
    <w:rsid w:val="001B6BE2"/>
    <w:rsid w:val="001C0DE0"/>
    <w:rsid w:val="001C686F"/>
    <w:rsid w:val="00200E5C"/>
    <w:rsid w:val="00217611"/>
    <w:rsid w:val="002415B0"/>
    <w:rsid w:val="00275EAD"/>
    <w:rsid w:val="002B0AA1"/>
    <w:rsid w:val="002C5781"/>
    <w:rsid w:val="002E4B5B"/>
    <w:rsid w:val="00317A9E"/>
    <w:rsid w:val="00351F58"/>
    <w:rsid w:val="00355996"/>
    <w:rsid w:val="00393B27"/>
    <w:rsid w:val="00420603"/>
    <w:rsid w:val="004278C9"/>
    <w:rsid w:val="00445E27"/>
    <w:rsid w:val="0045671B"/>
    <w:rsid w:val="00461942"/>
    <w:rsid w:val="00482097"/>
    <w:rsid w:val="004949FF"/>
    <w:rsid w:val="004C3292"/>
    <w:rsid w:val="005050C2"/>
    <w:rsid w:val="00556CF9"/>
    <w:rsid w:val="005E1FAD"/>
    <w:rsid w:val="00605C94"/>
    <w:rsid w:val="00617356"/>
    <w:rsid w:val="006339D9"/>
    <w:rsid w:val="00673015"/>
    <w:rsid w:val="006744F7"/>
    <w:rsid w:val="006E287A"/>
    <w:rsid w:val="00705E83"/>
    <w:rsid w:val="0072486B"/>
    <w:rsid w:val="00726884"/>
    <w:rsid w:val="007439C5"/>
    <w:rsid w:val="00744C22"/>
    <w:rsid w:val="00746CC5"/>
    <w:rsid w:val="007650F9"/>
    <w:rsid w:val="0078464F"/>
    <w:rsid w:val="007A0B64"/>
    <w:rsid w:val="007B2214"/>
    <w:rsid w:val="007D4F90"/>
    <w:rsid w:val="007E36D3"/>
    <w:rsid w:val="007F0C64"/>
    <w:rsid w:val="00805B4F"/>
    <w:rsid w:val="00823280"/>
    <w:rsid w:val="008474FD"/>
    <w:rsid w:val="008817B8"/>
    <w:rsid w:val="0089551A"/>
    <w:rsid w:val="00913B70"/>
    <w:rsid w:val="009311C1"/>
    <w:rsid w:val="00933219"/>
    <w:rsid w:val="00934C3F"/>
    <w:rsid w:val="0095455D"/>
    <w:rsid w:val="00964D83"/>
    <w:rsid w:val="00990E09"/>
    <w:rsid w:val="009D038C"/>
    <w:rsid w:val="009D65DD"/>
    <w:rsid w:val="009D7935"/>
    <w:rsid w:val="00A22AA7"/>
    <w:rsid w:val="00A37F5C"/>
    <w:rsid w:val="00A439F3"/>
    <w:rsid w:val="00A549E0"/>
    <w:rsid w:val="00A84544"/>
    <w:rsid w:val="00A969A1"/>
    <w:rsid w:val="00A97EB9"/>
    <w:rsid w:val="00B17D64"/>
    <w:rsid w:val="00B6249E"/>
    <w:rsid w:val="00B705CC"/>
    <w:rsid w:val="00BC2835"/>
    <w:rsid w:val="00BD622C"/>
    <w:rsid w:val="00C02CD1"/>
    <w:rsid w:val="00C059A1"/>
    <w:rsid w:val="00C069C5"/>
    <w:rsid w:val="00C37EBC"/>
    <w:rsid w:val="00C41941"/>
    <w:rsid w:val="00CC3FFF"/>
    <w:rsid w:val="00CF215D"/>
    <w:rsid w:val="00D07EBD"/>
    <w:rsid w:val="00D53C23"/>
    <w:rsid w:val="00D93EEB"/>
    <w:rsid w:val="00DD414A"/>
    <w:rsid w:val="00DE5640"/>
    <w:rsid w:val="00E03D68"/>
    <w:rsid w:val="00E06288"/>
    <w:rsid w:val="00E3342E"/>
    <w:rsid w:val="00E74545"/>
    <w:rsid w:val="00EA0F4E"/>
    <w:rsid w:val="00EA219A"/>
    <w:rsid w:val="00EC1EE0"/>
    <w:rsid w:val="00EC753B"/>
    <w:rsid w:val="00EF721B"/>
    <w:rsid w:val="00F242E9"/>
    <w:rsid w:val="00F545BD"/>
    <w:rsid w:val="00F66482"/>
    <w:rsid w:val="00F85A1D"/>
    <w:rsid w:val="00FC4CB8"/>
    <w:rsid w:val="00FD12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89EC26-32F8-4D87-A73E-D4E1724F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BE2"/>
    <w:pPr>
      <w:ind w:leftChars="200" w:left="480"/>
    </w:pPr>
  </w:style>
  <w:style w:type="paragraph" w:styleId="a4">
    <w:name w:val="Balloon Text"/>
    <w:basedOn w:val="a"/>
    <w:link w:val="a5"/>
    <w:uiPriority w:val="99"/>
    <w:semiHidden/>
    <w:unhideWhenUsed/>
    <w:rsid w:val="00EA219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A219A"/>
    <w:rPr>
      <w:rFonts w:asciiTheme="majorHAnsi" w:eastAsiaTheme="majorEastAsia" w:hAnsiTheme="majorHAnsi" w:cstheme="majorBidi"/>
      <w:sz w:val="18"/>
      <w:szCs w:val="18"/>
    </w:rPr>
  </w:style>
  <w:style w:type="paragraph" w:styleId="3">
    <w:name w:val="Body Text Indent 3"/>
    <w:basedOn w:val="a"/>
    <w:link w:val="30"/>
    <w:semiHidden/>
    <w:unhideWhenUsed/>
    <w:rsid w:val="00116C0D"/>
    <w:pPr>
      <w:spacing w:after="120"/>
      <w:ind w:leftChars="200" w:left="480"/>
    </w:pPr>
    <w:rPr>
      <w:rFonts w:ascii="Calibri" w:eastAsia="新細明體" w:hAnsi="Calibri" w:cs="Calibri"/>
      <w:sz w:val="16"/>
      <w:szCs w:val="16"/>
    </w:rPr>
  </w:style>
  <w:style w:type="character" w:customStyle="1" w:styleId="30">
    <w:name w:val="本文縮排 3 字元"/>
    <w:basedOn w:val="a0"/>
    <w:link w:val="3"/>
    <w:semiHidden/>
    <w:rsid w:val="00116C0D"/>
    <w:rPr>
      <w:rFonts w:ascii="Calibri" w:eastAsia="新細明體" w:hAnsi="Calibri" w:cs="Calibri"/>
      <w:sz w:val="16"/>
      <w:szCs w:val="16"/>
    </w:rPr>
  </w:style>
  <w:style w:type="paragraph" w:customStyle="1" w:styleId="1">
    <w:name w:val="清單段落1"/>
    <w:basedOn w:val="a"/>
    <w:rsid w:val="00116C0D"/>
    <w:pPr>
      <w:ind w:leftChars="200" w:left="480"/>
    </w:pPr>
    <w:rPr>
      <w:rFonts w:ascii="Calibri" w:eastAsia="新細明體" w:hAnsi="Calibri" w:cs="Calibri"/>
      <w:szCs w:val="24"/>
    </w:rPr>
  </w:style>
  <w:style w:type="table" w:styleId="a6">
    <w:name w:val="Table Grid"/>
    <w:basedOn w:val="a1"/>
    <w:uiPriority w:val="59"/>
    <w:rsid w:val="00116C0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07D55"/>
    <w:pPr>
      <w:tabs>
        <w:tab w:val="center" w:pos="4153"/>
        <w:tab w:val="right" w:pos="8306"/>
      </w:tabs>
      <w:snapToGrid w:val="0"/>
    </w:pPr>
    <w:rPr>
      <w:sz w:val="20"/>
      <w:szCs w:val="20"/>
    </w:rPr>
  </w:style>
  <w:style w:type="character" w:customStyle="1" w:styleId="a8">
    <w:name w:val="頁首 字元"/>
    <w:basedOn w:val="a0"/>
    <w:link w:val="a7"/>
    <w:uiPriority w:val="99"/>
    <w:rsid w:val="00107D55"/>
    <w:rPr>
      <w:sz w:val="20"/>
      <w:szCs w:val="20"/>
    </w:rPr>
  </w:style>
  <w:style w:type="paragraph" w:styleId="a9">
    <w:name w:val="footer"/>
    <w:basedOn w:val="a"/>
    <w:link w:val="aa"/>
    <w:uiPriority w:val="99"/>
    <w:unhideWhenUsed/>
    <w:rsid w:val="00107D55"/>
    <w:pPr>
      <w:tabs>
        <w:tab w:val="center" w:pos="4153"/>
        <w:tab w:val="right" w:pos="8306"/>
      </w:tabs>
      <w:snapToGrid w:val="0"/>
    </w:pPr>
    <w:rPr>
      <w:sz w:val="20"/>
      <w:szCs w:val="20"/>
    </w:rPr>
  </w:style>
  <w:style w:type="character" w:customStyle="1" w:styleId="aa">
    <w:name w:val="頁尾 字元"/>
    <w:basedOn w:val="a0"/>
    <w:link w:val="a9"/>
    <w:uiPriority w:val="99"/>
    <w:rsid w:val="00107D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58880">
      <w:bodyDiv w:val="1"/>
      <w:marLeft w:val="0"/>
      <w:marRight w:val="0"/>
      <w:marTop w:val="0"/>
      <w:marBottom w:val="0"/>
      <w:divBdr>
        <w:top w:val="none" w:sz="0" w:space="0" w:color="auto"/>
        <w:left w:val="none" w:sz="0" w:space="0" w:color="auto"/>
        <w:bottom w:val="none" w:sz="0" w:space="0" w:color="auto"/>
        <w:right w:val="none" w:sz="0" w:space="0" w:color="auto"/>
      </w:divBdr>
    </w:div>
    <w:div w:id="652564155">
      <w:bodyDiv w:val="1"/>
      <w:marLeft w:val="0"/>
      <w:marRight w:val="0"/>
      <w:marTop w:val="0"/>
      <w:marBottom w:val="0"/>
      <w:divBdr>
        <w:top w:val="none" w:sz="0" w:space="0" w:color="auto"/>
        <w:left w:val="none" w:sz="0" w:space="0" w:color="auto"/>
        <w:bottom w:val="none" w:sz="0" w:space="0" w:color="auto"/>
        <w:right w:val="none" w:sz="0" w:space="0" w:color="auto"/>
      </w:divBdr>
    </w:div>
    <w:div w:id="729621369">
      <w:bodyDiv w:val="1"/>
      <w:marLeft w:val="0"/>
      <w:marRight w:val="0"/>
      <w:marTop w:val="0"/>
      <w:marBottom w:val="0"/>
      <w:divBdr>
        <w:top w:val="none" w:sz="0" w:space="0" w:color="auto"/>
        <w:left w:val="none" w:sz="0" w:space="0" w:color="auto"/>
        <w:bottom w:val="none" w:sz="0" w:space="0" w:color="auto"/>
        <w:right w:val="none" w:sz="0" w:space="0" w:color="auto"/>
      </w:divBdr>
    </w:div>
    <w:div w:id="111687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269</Words>
  <Characters>1534</Characters>
  <Application>Microsoft Office Word</Application>
  <DocSecurity>0</DocSecurity>
  <Lines>12</Lines>
  <Paragraphs>3</Paragraphs>
  <ScaleCrop>false</ScaleCrop>
  <Company>Hewlett-Packard Company</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柯仲侑</dc:creator>
  <cp:keywords/>
  <dc:description/>
  <cp:lastModifiedBy>柯仲侑</cp:lastModifiedBy>
  <cp:revision>2</cp:revision>
  <cp:lastPrinted>2019-12-04T03:27:00Z</cp:lastPrinted>
  <dcterms:created xsi:type="dcterms:W3CDTF">2020-01-08T08:45:00Z</dcterms:created>
  <dcterms:modified xsi:type="dcterms:W3CDTF">2020-01-08T08:45:00Z</dcterms:modified>
</cp:coreProperties>
</file>