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6D6" w:rsidRPr="006D72FC" w:rsidRDefault="00183EC4" w:rsidP="006D72FC">
      <w:pPr>
        <w:rPr>
          <w:rFonts w:ascii="標楷體" w:eastAsia="標楷體" w:hAnsi="標楷體"/>
          <w:kern w:val="0"/>
          <w:sz w:val="36"/>
          <w:szCs w:val="36"/>
          <w:lang w:eastAsia="zh-HK"/>
        </w:rPr>
      </w:pPr>
      <w:proofErr w:type="gramStart"/>
      <w:r w:rsidRPr="006D72FC">
        <w:rPr>
          <w:rFonts w:ascii="標楷體" w:eastAsia="標楷體" w:hAnsi="標楷體" w:hint="eastAsia"/>
          <w:kern w:val="0"/>
          <w:sz w:val="36"/>
          <w:szCs w:val="36"/>
          <w:lang w:eastAsia="zh-HK"/>
        </w:rPr>
        <w:t>臺</w:t>
      </w:r>
      <w:proofErr w:type="gramEnd"/>
      <w:r w:rsidRPr="006D72FC">
        <w:rPr>
          <w:rFonts w:ascii="標楷體" w:eastAsia="標楷體" w:hAnsi="標楷體" w:hint="eastAsia"/>
          <w:kern w:val="0"/>
          <w:sz w:val="36"/>
          <w:szCs w:val="36"/>
          <w:lang w:eastAsia="zh-HK"/>
        </w:rPr>
        <w:t>中市辦理公共工程拆遷建築改良物補償自治條例</w:t>
      </w:r>
      <w:bookmarkStart w:id="0" w:name="_GoBack"/>
      <w:bookmarkEnd w:id="0"/>
    </w:p>
    <w:p w:rsidR="0034768A" w:rsidRPr="0034768A" w:rsidRDefault="0034768A" w:rsidP="0034768A">
      <w:pPr>
        <w:jc w:val="right"/>
        <w:rPr>
          <w:rFonts w:ascii="標楷體" w:eastAsia="標楷體" w:hAnsi="標楷體"/>
          <w:kern w:val="0"/>
          <w:sz w:val="20"/>
          <w:szCs w:val="20"/>
          <w:lang w:eastAsia="zh-HK"/>
        </w:rPr>
      </w:pPr>
      <w:r w:rsidRPr="0034768A">
        <w:rPr>
          <w:rFonts w:ascii="標楷體" w:eastAsia="標楷體" w:hAnsi="標楷體" w:hint="eastAsia"/>
          <w:kern w:val="0"/>
          <w:sz w:val="20"/>
          <w:szCs w:val="20"/>
          <w:lang w:eastAsia="zh-HK"/>
        </w:rPr>
        <w:t>中華民國</w:t>
      </w:r>
      <w:proofErr w:type="gramStart"/>
      <w:r w:rsidRPr="0034768A">
        <w:rPr>
          <w:rFonts w:ascii="標楷體" w:eastAsia="標楷體" w:hAnsi="標楷體" w:hint="eastAsia"/>
          <w:kern w:val="0"/>
          <w:sz w:val="20"/>
          <w:szCs w:val="20"/>
          <w:lang w:eastAsia="zh-HK"/>
        </w:rPr>
        <w:t>101年7月24日府授法規</w:t>
      </w:r>
      <w:proofErr w:type="gramEnd"/>
      <w:r w:rsidRPr="0034768A">
        <w:rPr>
          <w:rFonts w:ascii="標楷體" w:eastAsia="標楷體" w:hAnsi="標楷體" w:hint="eastAsia"/>
          <w:kern w:val="0"/>
          <w:sz w:val="20"/>
          <w:szCs w:val="20"/>
          <w:lang w:eastAsia="zh-HK"/>
        </w:rPr>
        <w:t>字第1010124687號令制定發布</w:t>
      </w:r>
    </w:p>
    <w:p w:rsidR="0034768A" w:rsidRPr="0034768A" w:rsidRDefault="0034768A" w:rsidP="0034768A">
      <w:pPr>
        <w:jc w:val="right"/>
        <w:rPr>
          <w:rFonts w:ascii="標楷體" w:eastAsia="標楷體" w:hAnsi="標楷體"/>
          <w:kern w:val="0"/>
          <w:sz w:val="20"/>
          <w:szCs w:val="20"/>
          <w:lang w:eastAsia="zh-HK"/>
        </w:rPr>
      </w:pPr>
      <w:r w:rsidRPr="0034768A">
        <w:rPr>
          <w:rFonts w:ascii="標楷體" w:eastAsia="標楷體" w:hAnsi="標楷體" w:hint="eastAsia"/>
          <w:kern w:val="0"/>
          <w:sz w:val="20"/>
          <w:szCs w:val="20"/>
          <w:lang w:eastAsia="zh-HK"/>
        </w:rPr>
        <w:t>中華民國</w:t>
      </w:r>
      <w:proofErr w:type="gramStart"/>
      <w:r w:rsidRPr="0034768A">
        <w:rPr>
          <w:rFonts w:ascii="標楷體" w:eastAsia="標楷體" w:hAnsi="標楷體" w:hint="eastAsia"/>
          <w:kern w:val="0"/>
          <w:sz w:val="20"/>
          <w:szCs w:val="20"/>
          <w:lang w:eastAsia="zh-HK"/>
        </w:rPr>
        <w:t>103年1月24日府授法規</w:t>
      </w:r>
      <w:proofErr w:type="gramEnd"/>
      <w:r w:rsidRPr="0034768A">
        <w:rPr>
          <w:rFonts w:ascii="標楷體" w:eastAsia="標楷體" w:hAnsi="標楷體" w:hint="eastAsia"/>
          <w:kern w:val="0"/>
          <w:sz w:val="20"/>
          <w:szCs w:val="20"/>
          <w:lang w:eastAsia="zh-HK"/>
        </w:rPr>
        <w:t>字第1030016407號令修正</w:t>
      </w:r>
    </w:p>
    <w:p w:rsidR="0034768A" w:rsidRPr="0034768A" w:rsidRDefault="0034768A" w:rsidP="0034768A">
      <w:pPr>
        <w:jc w:val="right"/>
        <w:rPr>
          <w:rFonts w:ascii="標楷體" w:eastAsia="標楷體" w:hAnsi="標楷體"/>
          <w:kern w:val="0"/>
          <w:sz w:val="20"/>
          <w:szCs w:val="20"/>
          <w:lang w:eastAsia="zh-HK"/>
        </w:rPr>
      </w:pPr>
      <w:r w:rsidRPr="0034768A">
        <w:rPr>
          <w:rFonts w:ascii="標楷體" w:eastAsia="標楷體" w:hAnsi="標楷體" w:hint="eastAsia"/>
          <w:kern w:val="0"/>
          <w:sz w:val="20"/>
          <w:szCs w:val="20"/>
          <w:lang w:eastAsia="zh-HK"/>
        </w:rPr>
        <w:t>中華民國</w:t>
      </w:r>
      <w:proofErr w:type="gramStart"/>
      <w:r w:rsidRPr="0034768A">
        <w:rPr>
          <w:rFonts w:ascii="標楷體" w:eastAsia="標楷體" w:hAnsi="標楷體" w:hint="eastAsia"/>
          <w:kern w:val="0"/>
          <w:sz w:val="20"/>
          <w:szCs w:val="20"/>
          <w:lang w:eastAsia="zh-HK"/>
        </w:rPr>
        <w:t>104年3月5日府授法規</w:t>
      </w:r>
      <w:proofErr w:type="gramEnd"/>
      <w:r w:rsidRPr="0034768A">
        <w:rPr>
          <w:rFonts w:ascii="標楷體" w:eastAsia="標楷體" w:hAnsi="標楷體" w:hint="eastAsia"/>
          <w:kern w:val="0"/>
          <w:sz w:val="20"/>
          <w:szCs w:val="20"/>
          <w:lang w:eastAsia="zh-HK"/>
        </w:rPr>
        <w:t>字第1040045453號令修正</w:t>
      </w:r>
    </w:p>
    <w:p w:rsidR="0034768A" w:rsidRPr="0034768A" w:rsidRDefault="0034768A" w:rsidP="0034768A">
      <w:pPr>
        <w:jc w:val="right"/>
        <w:rPr>
          <w:rFonts w:ascii="標楷體" w:eastAsia="標楷體" w:hAnsi="標楷體"/>
          <w:kern w:val="0"/>
          <w:sz w:val="20"/>
          <w:szCs w:val="20"/>
          <w:lang w:eastAsia="zh-HK"/>
        </w:rPr>
      </w:pPr>
      <w:r w:rsidRPr="0034768A">
        <w:rPr>
          <w:rFonts w:ascii="標楷體" w:eastAsia="標楷體" w:hAnsi="標楷體" w:hint="eastAsia"/>
          <w:kern w:val="0"/>
          <w:sz w:val="20"/>
          <w:szCs w:val="20"/>
          <w:lang w:eastAsia="zh-HK"/>
        </w:rPr>
        <w:t>中華民國</w:t>
      </w:r>
      <w:proofErr w:type="gramStart"/>
      <w:r w:rsidRPr="0034768A">
        <w:rPr>
          <w:rFonts w:ascii="標楷體" w:eastAsia="標楷體" w:hAnsi="標楷體" w:hint="eastAsia"/>
          <w:kern w:val="0"/>
          <w:sz w:val="20"/>
          <w:szCs w:val="20"/>
          <w:lang w:eastAsia="zh-HK"/>
        </w:rPr>
        <w:t>107年9月21日府授法規</w:t>
      </w:r>
      <w:proofErr w:type="gramEnd"/>
      <w:r w:rsidRPr="0034768A">
        <w:rPr>
          <w:rFonts w:ascii="標楷體" w:eastAsia="標楷體" w:hAnsi="標楷體" w:hint="eastAsia"/>
          <w:kern w:val="0"/>
          <w:sz w:val="20"/>
          <w:szCs w:val="20"/>
          <w:lang w:eastAsia="zh-HK"/>
        </w:rPr>
        <w:t>字第1070226834號令修正</w:t>
      </w:r>
    </w:p>
    <w:p w:rsidR="0034768A" w:rsidRPr="0034768A" w:rsidRDefault="0034768A" w:rsidP="0034768A">
      <w:pPr>
        <w:tabs>
          <w:tab w:val="left" w:pos="1110"/>
        </w:tabs>
        <w:kinsoku w:val="0"/>
        <w:overflowPunct w:val="0"/>
        <w:adjustRightInd w:val="0"/>
        <w:snapToGrid w:val="0"/>
        <w:spacing w:line="460" w:lineRule="exact"/>
        <w:ind w:left="840" w:hangingChars="300" w:hanging="840"/>
        <w:jc w:val="both"/>
        <w:rPr>
          <w:rFonts w:ascii="標楷體" w:eastAsia="標楷體" w:hAnsi="標楷體"/>
          <w:sz w:val="28"/>
          <w:szCs w:val="28"/>
        </w:rPr>
      </w:pPr>
      <w:r w:rsidRPr="0034768A">
        <w:rPr>
          <w:rFonts w:ascii="標楷體" w:eastAsia="標楷體" w:hAnsi="標楷體"/>
          <w:sz w:val="28"/>
          <w:szCs w:val="28"/>
        </w:rPr>
        <w:t>第一條</w:t>
      </w:r>
      <w:r w:rsidRPr="0034768A">
        <w:rPr>
          <w:rFonts w:ascii="標楷體" w:eastAsia="標楷體" w:hAnsi="標楷體" w:hint="eastAsia"/>
          <w:sz w:val="28"/>
          <w:szCs w:val="28"/>
        </w:rPr>
        <w:t xml:space="preserve">    臺中市為辦理公共工程拆遷建築改良物損失補償，特制定本自治條例。</w:t>
      </w:r>
    </w:p>
    <w:p w:rsidR="0034768A" w:rsidRPr="0034768A" w:rsidRDefault="0034768A" w:rsidP="0034768A">
      <w:pPr>
        <w:adjustRightInd w:val="0"/>
        <w:snapToGrid w:val="0"/>
        <w:spacing w:line="460" w:lineRule="exact"/>
        <w:ind w:left="840" w:hangingChars="300" w:hanging="840"/>
        <w:jc w:val="both"/>
        <w:rPr>
          <w:rFonts w:ascii="標楷體" w:eastAsia="標楷體" w:hAnsi="標楷體"/>
          <w:sz w:val="28"/>
          <w:szCs w:val="28"/>
        </w:rPr>
      </w:pPr>
      <w:r w:rsidRPr="0034768A">
        <w:rPr>
          <w:rFonts w:ascii="標楷體" w:eastAsia="標楷體" w:hAnsi="標楷體"/>
          <w:sz w:val="28"/>
          <w:szCs w:val="28"/>
        </w:rPr>
        <w:t>第</w:t>
      </w:r>
      <w:r w:rsidRPr="0034768A">
        <w:rPr>
          <w:rFonts w:ascii="標楷體" w:eastAsia="標楷體" w:hAnsi="標楷體" w:hint="eastAsia"/>
          <w:sz w:val="28"/>
          <w:szCs w:val="28"/>
        </w:rPr>
        <w:t>二</w:t>
      </w:r>
      <w:r w:rsidRPr="0034768A">
        <w:rPr>
          <w:rFonts w:ascii="標楷體" w:eastAsia="標楷體" w:hAnsi="標楷體"/>
          <w:sz w:val="28"/>
          <w:szCs w:val="28"/>
        </w:rPr>
        <w:t>條</w:t>
      </w:r>
      <w:r w:rsidRPr="0034768A">
        <w:rPr>
          <w:rFonts w:ascii="標楷體" w:eastAsia="標楷體" w:hAnsi="標楷體" w:hint="eastAsia"/>
          <w:sz w:val="28"/>
          <w:szCs w:val="28"/>
        </w:rPr>
        <w:t xml:space="preserve">    本自治條例之主管機關為臺中市政府建設局（以下簡稱建設局），並得委託臺中市政府所屬各區公所執行。</w:t>
      </w:r>
    </w:p>
    <w:p w:rsidR="0034768A" w:rsidRPr="0034768A" w:rsidRDefault="0034768A" w:rsidP="0034768A">
      <w:pPr>
        <w:tabs>
          <w:tab w:val="left" w:pos="392"/>
        </w:tabs>
        <w:kinsoku w:val="0"/>
        <w:overflowPunct w:val="0"/>
        <w:adjustRightInd w:val="0"/>
        <w:snapToGrid w:val="0"/>
        <w:spacing w:line="460" w:lineRule="exact"/>
        <w:ind w:left="840" w:hangingChars="300" w:hanging="840"/>
        <w:jc w:val="both"/>
        <w:rPr>
          <w:rFonts w:ascii="標楷體" w:eastAsia="標楷體" w:hAnsi="標楷體"/>
          <w:sz w:val="28"/>
          <w:szCs w:val="28"/>
        </w:rPr>
      </w:pPr>
      <w:r w:rsidRPr="0034768A">
        <w:rPr>
          <w:rFonts w:ascii="標楷體" w:eastAsia="標楷體" w:hAnsi="標楷體" w:hint="eastAsia"/>
          <w:sz w:val="28"/>
          <w:szCs w:val="28"/>
        </w:rPr>
        <w:t>第三條    本自治條例所稱之建築改良物（以下簡稱建物）指下列各款：</w:t>
      </w:r>
    </w:p>
    <w:p w:rsidR="0034768A" w:rsidRPr="0034768A" w:rsidRDefault="0034768A" w:rsidP="0034768A">
      <w:pPr>
        <w:kinsoku w:val="0"/>
        <w:overflowPunct w:val="0"/>
        <w:adjustRightInd w:val="0"/>
        <w:snapToGrid w:val="0"/>
        <w:spacing w:line="460" w:lineRule="exact"/>
        <w:ind w:leftChars="650" w:left="2126" w:hangingChars="202" w:hanging="566"/>
        <w:jc w:val="both"/>
        <w:rPr>
          <w:rFonts w:ascii="標楷體" w:eastAsia="標楷體" w:hAnsi="標楷體"/>
          <w:sz w:val="28"/>
          <w:szCs w:val="28"/>
        </w:rPr>
      </w:pPr>
      <w:r w:rsidRPr="0034768A">
        <w:rPr>
          <w:rFonts w:ascii="標楷體" w:eastAsia="標楷體" w:hAnsi="標楷體" w:hint="eastAsia"/>
          <w:sz w:val="28"/>
          <w:szCs w:val="28"/>
        </w:rPr>
        <w:t>一、依建築法興建或完成建物第一次登記之建物。</w:t>
      </w:r>
    </w:p>
    <w:p w:rsidR="0034768A" w:rsidRPr="0034768A" w:rsidRDefault="0034768A" w:rsidP="0034768A">
      <w:pPr>
        <w:kinsoku w:val="0"/>
        <w:overflowPunct w:val="0"/>
        <w:adjustRightInd w:val="0"/>
        <w:snapToGrid w:val="0"/>
        <w:spacing w:line="460" w:lineRule="exact"/>
        <w:ind w:leftChars="650" w:left="2126" w:hangingChars="202" w:hanging="566"/>
        <w:jc w:val="both"/>
        <w:rPr>
          <w:rFonts w:ascii="標楷體" w:eastAsia="標楷體" w:hAnsi="標楷體"/>
          <w:sz w:val="28"/>
          <w:szCs w:val="28"/>
        </w:rPr>
      </w:pPr>
      <w:r w:rsidRPr="0034768A">
        <w:rPr>
          <w:rFonts w:ascii="標楷體" w:eastAsia="標楷體" w:hAnsi="標楷體" w:hint="eastAsia"/>
          <w:sz w:val="28"/>
          <w:szCs w:val="28"/>
        </w:rPr>
        <w:t>二、依建築法領有建築執照或建築許可，在執照有效期間內興建之建築物，其構造及位置均按核准之工程圖樣施工者。</w:t>
      </w:r>
    </w:p>
    <w:p w:rsidR="0034768A" w:rsidRPr="0034768A" w:rsidRDefault="0034768A" w:rsidP="0034768A">
      <w:pPr>
        <w:kinsoku w:val="0"/>
        <w:overflowPunct w:val="0"/>
        <w:adjustRightInd w:val="0"/>
        <w:snapToGrid w:val="0"/>
        <w:spacing w:line="460" w:lineRule="exact"/>
        <w:ind w:leftChars="650" w:left="2126" w:hangingChars="202" w:hanging="566"/>
        <w:jc w:val="both"/>
        <w:rPr>
          <w:rFonts w:ascii="標楷體" w:eastAsia="標楷體" w:hAnsi="標楷體"/>
          <w:sz w:val="28"/>
          <w:szCs w:val="28"/>
        </w:rPr>
      </w:pPr>
      <w:r w:rsidRPr="0034768A">
        <w:rPr>
          <w:rFonts w:ascii="標楷體" w:eastAsia="標楷體" w:hAnsi="標楷體" w:hint="eastAsia"/>
          <w:sz w:val="28"/>
          <w:szCs w:val="28"/>
        </w:rPr>
        <w:t>三、臺中市都市計畫重新發布前完成之建物。</w:t>
      </w:r>
    </w:p>
    <w:p w:rsidR="0034768A" w:rsidRPr="0034768A" w:rsidRDefault="0034768A" w:rsidP="0034768A">
      <w:pPr>
        <w:kinsoku w:val="0"/>
        <w:overflowPunct w:val="0"/>
        <w:adjustRightInd w:val="0"/>
        <w:snapToGrid w:val="0"/>
        <w:spacing w:line="460" w:lineRule="exact"/>
        <w:ind w:leftChars="650" w:left="2126" w:hangingChars="202" w:hanging="566"/>
        <w:jc w:val="both"/>
        <w:rPr>
          <w:rFonts w:ascii="標楷體" w:eastAsia="標楷體" w:hAnsi="標楷體"/>
          <w:sz w:val="28"/>
          <w:szCs w:val="28"/>
        </w:rPr>
      </w:pPr>
      <w:r w:rsidRPr="0034768A">
        <w:rPr>
          <w:rFonts w:ascii="標楷體" w:eastAsia="標楷體" w:hAnsi="標楷體" w:hint="eastAsia"/>
          <w:sz w:val="28"/>
          <w:szCs w:val="28"/>
        </w:rPr>
        <w:t>四、實施都市計畫以外地區建築物管理辦法發布前完成之建物。</w:t>
      </w:r>
    </w:p>
    <w:p w:rsidR="0034768A" w:rsidRPr="0034768A" w:rsidRDefault="0034768A" w:rsidP="0034768A">
      <w:pPr>
        <w:kinsoku w:val="0"/>
        <w:overflowPunct w:val="0"/>
        <w:adjustRightInd w:val="0"/>
        <w:snapToGrid w:val="0"/>
        <w:spacing w:line="460" w:lineRule="exact"/>
        <w:ind w:leftChars="650" w:left="2126" w:hangingChars="202" w:hanging="566"/>
        <w:jc w:val="both"/>
        <w:rPr>
          <w:rFonts w:ascii="標楷體" w:eastAsia="標楷體" w:hAnsi="標楷體"/>
          <w:sz w:val="28"/>
          <w:szCs w:val="28"/>
        </w:rPr>
      </w:pPr>
      <w:r w:rsidRPr="0034768A">
        <w:rPr>
          <w:rFonts w:ascii="標楷體" w:eastAsia="標楷體" w:hAnsi="標楷體" w:hint="eastAsia"/>
          <w:sz w:val="28"/>
          <w:szCs w:val="28"/>
        </w:rPr>
        <w:t>五、都市計畫公共設施保留地臨時建築使用辦法施行前，領有臨時執照或領有建物使用執照、建物登記證明之建物。</w:t>
      </w:r>
    </w:p>
    <w:p w:rsidR="0034768A" w:rsidRPr="0034768A" w:rsidRDefault="0034768A" w:rsidP="0034768A">
      <w:pPr>
        <w:kinsoku w:val="0"/>
        <w:overflowPunct w:val="0"/>
        <w:adjustRightInd w:val="0"/>
        <w:snapToGrid w:val="0"/>
        <w:spacing w:line="460" w:lineRule="exact"/>
        <w:ind w:leftChars="650" w:left="2126" w:hangingChars="202" w:hanging="566"/>
        <w:jc w:val="both"/>
        <w:rPr>
          <w:rFonts w:ascii="標楷體" w:eastAsia="標楷體" w:hAnsi="標楷體"/>
          <w:sz w:val="28"/>
          <w:szCs w:val="28"/>
        </w:rPr>
      </w:pPr>
      <w:r w:rsidRPr="0034768A">
        <w:rPr>
          <w:rFonts w:ascii="標楷體" w:eastAsia="標楷體" w:hAnsi="標楷體" w:hint="eastAsia"/>
          <w:sz w:val="28"/>
          <w:szCs w:val="28"/>
        </w:rPr>
        <w:t>六、都市計畫及內政部指定建築法適用地區公布前之建物。</w:t>
      </w:r>
    </w:p>
    <w:p w:rsidR="0034768A" w:rsidRPr="0034768A" w:rsidRDefault="0034768A" w:rsidP="0034768A">
      <w:pPr>
        <w:kinsoku w:val="0"/>
        <w:overflowPunct w:val="0"/>
        <w:adjustRightInd w:val="0"/>
        <w:snapToGrid w:val="0"/>
        <w:spacing w:line="460" w:lineRule="exact"/>
        <w:ind w:leftChars="650" w:left="2126" w:hangingChars="202" w:hanging="566"/>
        <w:jc w:val="both"/>
        <w:rPr>
          <w:rFonts w:ascii="標楷體" w:eastAsia="標楷體" w:hAnsi="標楷體"/>
          <w:sz w:val="28"/>
          <w:szCs w:val="28"/>
        </w:rPr>
      </w:pPr>
      <w:r w:rsidRPr="0034768A">
        <w:rPr>
          <w:rFonts w:ascii="標楷體" w:eastAsia="標楷體" w:hAnsi="標楷體" w:hint="eastAsia"/>
          <w:sz w:val="28"/>
          <w:szCs w:val="28"/>
        </w:rPr>
        <w:t>七、日據時期已實施都市計畫地區，光復後依法重行發布實施都市計畫以前建造之建物。</w:t>
      </w:r>
    </w:p>
    <w:p w:rsidR="0034768A" w:rsidRPr="0034768A" w:rsidRDefault="0034768A" w:rsidP="0034768A">
      <w:pPr>
        <w:tabs>
          <w:tab w:val="left" w:pos="1110"/>
        </w:tabs>
        <w:kinsoku w:val="0"/>
        <w:overflowPunct w:val="0"/>
        <w:adjustRightInd w:val="0"/>
        <w:snapToGrid w:val="0"/>
        <w:spacing w:line="460" w:lineRule="exact"/>
        <w:ind w:left="840" w:hangingChars="300" w:hanging="840"/>
        <w:jc w:val="both"/>
        <w:rPr>
          <w:rFonts w:ascii="標楷體" w:eastAsia="標楷體" w:hAnsi="標楷體"/>
          <w:sz w:val="28"/>
          <w:szCs w:val="28"/>
        </w:rPr>
      </w:pPr>
      <w:r w:rsidRPr="0034768A">
        <w:rPr>
          <w:rFonts w:ascii="標楷體" w:eastAsia="標楷體" w:hAnsi="標楷體"/>
          <w:sz w:val="28"/>
          <w:szCs w:val="28"/>
        </w:rPr>
        <w:t>第</w:t>
      </w:r>
      <w:r w:rsidRPr="0034768A">
        <w:rPr>
          <w:rFonts w:ascii="標楷體" w:eastAsia="標楷體" w:hAnsi="標楷體" w:hint="eastAsia"/>
          <w:sz w:val="28"/>
          <w:szCs w:val="28"/>
        </w:rPr>
        <w:t>四</w:t>
      </w:r>
      <w:r w:rsidRPr="0034768A">
        <w:rPr>
          <w:rFonts w:ascii="標楷體" w:eastAsia="標楷體" w:hAnsi="標楷體"/>
          <w:sz w:val="28"/>
          <w:szCs w:val="28"/>
        </w:rPr>
        <w:t>條</w:t>
      </w:r>
      <w:r w:rsidRPr="0034768A">
        <w:rPr>
          <w:rFonts w:ascii="標楷體" w:eastAsia="標楷體" w:hAnsi="標楷體" w:hint="eastAsia"/>
          <w:sz w:val="28"/>
          <w:szCs w:val="28"/>
        </w:rPr>
        <w:t xml:space="preserve">    建設局辦理公共工程須拆遷建物應予損失補償，其損失補償費以建物重建價格核算。</w:t>
      </w:r>
    </w:p>
    <w:p w:rsidR="0034768A" w:rsidRPr="0034768A" w:rsidRDefault="0034768A" w:rsidP="0034768A">
      <w:pPr>
        <w:kinsoku w:val="0"/>
        <w:overflowPunct w:val="0"/>
        <w:adjustRightInd w:val="0"/>
        <w:snapToGrid w:val="0"/>
        <w:spacing w:line="460" w:lineRule="exact"/>
        <w:ind w:leftChars="354" w:left="850" w:firstLineChars="252" w:firstLine="706"/>
        <w:jc w:val="both"/>
        <w:rPr>
          <w:rFonts w:ascii="標楷體" w:eastAsia="標楷體" w:hAnsi="標楷體"/>
          <w:sz w:val="28"/>
          <w:szCs w:val="28"/>
        </w:rPr>
      </w:pPr>
      <w:r w:rsidRPr="0034768A">
        <w:rPr>
          <w:rFonts w:ascii="標楷體" w:eastAsia="標楷體" w:hAnsi="標楷體" w:hint="eastAsia"/>
          <w:sz w:val="28"/>
          <w:szCs w:val="28"/>
        </w:rPr>
        <w:t>建物重建價格以拆除面積乘以重建單價計算；其拆除面積之計算，以建物各層外牆或外柱面以內面積計算；重建單價標準如附表一至附表三。</w:t>
      </w:r>
    </w:p>
    <w:p w:rsidR="0034768A" w:rsidRPr="0034768A" w:rsidRDefault="0034768A" w:rsidP="0034768A">
      <w:pPr>
        <w:kinsoku w:val="0"/>
        <w:overflowPunct w:val="0"/>
        <w:adjustRightInd w:val="0"/>
        <w:snapToGrid w:val="0"/>
        <w:spacing w:line="460" w:lineRule="exact"/>
        <w:ind w:leftChars="354" w:left="850" w:firstLineChars="252" w:firstLine="706"/>
        <w:jc w:val="both"/>
        <w:rPr>
          <w:rFonts w:ascii="標楷體" w:eastAsia="標楷體" w:hAnsi="標楷體"/>
          <w:sz w:val="28"/>
          <w:szCs w:val="28"/>
        </w:rPr>
      </w:pPr>
      <w:r w:rsidRPr="0034768A">
        <w:rPr>
          <w:rFonts w:ascii="標楷體" w:eastAsia="標楷體" w:hAnsi="標楷體" w:hint="eastAsia"/>
          <w:sz w:val="28"/>
          <w:szCs w:val="28"/>
        </w:rPr>
        <w:t>第一項損失補償費之計算應納入物價指數。</w:t>
      </w:r>
    </w:p>
    <w:p w:rsidR="0034768A" w:rsidRPr="0034768A" w:rsidRDefault="0034768A" w:rsidP="0034768A">
      <w:pPr>
        <w:kinsoku w:val="0"/>
        <w:overflowPunct w:val="0"/>
        <w:adjustRightInd w:val="0"/>
        <w:snapToGrid w:val="0"/>
        <w:spacing w:line="460" w:lineRule="exact"/>
        <w:ind w:leftChars="354" w:left="850" w:firstLineChars="252" w:firstLine="706"/>
        <w:jc w:val="both"/>
        <w:rPr>
          <w:rFonts w:ascii="標楷體" w:eastAsia="標楷體" w:hAnsi="標楷體"/>
          <w:sz w:val="28"/>
          <w:szCs w:val="28"/>
        </w:rPr>
      </w:pPr>
      <w:r w:rsidRPr="0034768A">
        <w:rPr>
          <w:rFonts w:ascii="標楷體" w:eastAsia="標楷體" w:hAnsi="標楷體" w:hint="eastAsia"/>
          <w:sz w:val="28"/>
          <w:szCs w:val="28"/>
        </w:rPr>
        <w:lastRenderedPageBreak/>
        <w:t>物價調整之標準以當年度六月份行政院主計處公布之營造工程物價總指數與中華民國一百年一月份至六月份物價指數平均值相較，增減超過百分之五時，於次年度一月一日起予以調整。</w:t>
      </w:r>
    </w:p>
    <w:p w:rsidR="0034768A" w:rsidRPr="0034768A" w:rsidRDefault="0034768A" w:rsidP="0034768A">
      <w:pPr>
        <w:kinsoku w:val="0"/>
        <w:overflowPunct w:val="0"/>
        <w:adjustRightInd w:val="0"/>
        <w:snapToGrid w:val="0"/>
        <w:spacing w:line="460" w:lineRule="exact"/>
        <w:ind w:leftChars="354" w:left="850" w:firstLineChars="252" w:firstLine="706"/>
        <w:jc w:val="both"/>
        <w:rPr>
          <w:rFonts w:ascii="標楷體" w:eastAsia="標楷體" w:hAnsi="標楷體"/>
          <w:sz w:val="28"/>
          <w:szCs w:val="28"/>
        </w:rPr>
      </w:pPr>
      <w:r w:rsidRPr="0034768A">
        <w:rPr>
          <w:rFonts w:ascii="標楷體" w:eastAsia="標楷體" w:hAnsi="標楷體" w:hint="eastAsia"/>
          <w:sz w:val="28"/>
          <w:szCs w:val="28"/>
        </w:rPr>
        <w:t>前項建物拆遷損失補償費調整計算公式如下：物價調整後之損失補償費= 物價調整前之損失補償費±物價調整前之損失補償費×（指數增減絕對值減百分之五）。</w:t>
      </w:r>
    </w:p>
    <w:p w:rsidR="0034768A" w:rsidRPr="0034768A" w:rsidRDefault="0034768A" w:rsidP="0034768A">
      <w:pPr>
        <w:tabs>
          <w:tab w:val="left" w:pos="1110"/>
        </w:tabs>
        <w:kinsoku w:val="0"/>
        <w:overflowPunct w:val="0"/>
        <w:adjustRightInd w:val="0"/>
        <w:snapToGrid w:val="0"/>
        <w:spacing w:line="460" w:lineRule="exact"/>
        <w:ind w:left="840" w:hangingChars="300" w:hanging="840"/>
        <w:jc w:val="both"/>
        <w:rPr>
          <w:rFonts w:ascii="標楷體" w:eastAsia="標楷體" w:hAnsi="標楷體"/>
          <w:sz w:val="28"/>
          <w:szCs w:val="28"/>
        </w:rPr>
      </w:pPr>
      <w:r w:rsidRPr="0034768A">
        <w:rPr>
          <w:rFonts w:ascii="標楷體" w:eastAsia="標楷體" w:hAnsi="標楷體"/>
          <w:sz w:val="28"/>
          <w:szCs w:val="28"/>
        </w:rPr>
        <w:t>第</w:t>
      </w:r>
      <w:r w:rsidRPr="0034768A">
        <w:rPr>
          <w:rFonts w:ascii="標楷體" w:eastAsia="標楷體" w:hAnsi="標楷體" w:hint="eastAsia"/>
          <w:sz w:val="28"/>
          <w:szCs w:val="28"/>
        </w:rPr>
        <w:t>五</w:t>
      </w:r>
      <w:r w:rsidRPr="0034768A">
        <w:rPr>
          <w:rFonts w:ascii="標楷體" w:eastAsia="標楷體" w:hAnsi="標楷體"/>
          <w:sz w:val="28"/>
          <w:szCs w:val="28"/>
        </w:rPr>
        <w:t>條</w:t>
      </w:r>
      <w:r w:rsidRPr="0034768A">
        <w:rPr>
          <w:rFonts w:ascii="標楷體" w:eastAsia="標楷體" w:hAnsi="標楷體" w:hint="eastAsia"/>
          <w:sz w:val="28"/>
          <w:szCs w:val="28"/>
        </w:rPr>
        <w:t xml:space="preserve">    建物部分拆除後，其剩餘部分有結構安全之虞或無法繼續使用或位於公共設施保留地上者，得申請全部拆除，並依前條規定計算損失補償費。</w:t>
      </w:r>
    </w:p>
    <w:p w:rsidR="0034768A" w:rsidRPr="0034768A" w:rsidRDefault="0034768A" w:rsidP="0034768A">
      <w:pPr>
        <w:kinsoku w:val="0"/>
        <w:overflowPunct w:val="0"/>
        <w:adjustRightInd w:val="0"/>
        <w:snapToGrid w:val="0"/>
        <w:spacing w:line="460" w:lineRule="exact"/>
        <w:ind w:leftChars="354" w:left="850" w:firstLineChars="252" w:firstLine="706"/>
        <w:jc w:val="both"/>
        <w:rPr>
          <w:rFonts w:ascii="標楷體" w:eastAsia="標楷體" w:hAnsi="標楷體"/>
          <w:sz w:val="28"/>
          <w:szCs w:val="28"/>
        </w:rPr>
      </w:pPr>
      <w:r w:rsidRPr="0034768A">
        <w:rPr>
          <w:rFonts w:ascii="標楷體" w:eastAsia="標楷體" w:hAnsi="標楷體" w:hint="eastAsia"/>
          <w:sz w:val="28"/>
          <w:szCs w:val="28"/>
        </w:rPr>
        <w:t>建物部分拆除後，符合下列規定申請門面修復者，得發給修復費用，其修復費用依原拆除立面面積乘以重建單價計算：</w:t>
      </w:r>
    </w:p>
    <w:p w:rsidR="0034768A" w:rsidRPr="0034768A" w:rsidRDefault="0034768A" w:rsidP="0034768A">
      <w:pPr>
        <w:kinsoku w:val="0"/>
        <w:overflowPunct w:val="0"/>
        <w:adjustRightInd w:val="0"/>
        <w:snapToGrid w:val="0"/>
        <w:spacing w:line="460" w:lineRule="exact"/>
        <w:ind w:leftChars="650" w:left="2126" w:hangingChars="202" w:hanging="566"/>
        <w:jc w:val="both"/>
        <w:rPr>
          <w:rFonts w:ascii="標楷體" w:eastAsia="標楷體" w:hAnsi="標楷體"/>
          <w:sz w:val="28"/>
          <w:szCs w:val="28"/>
        </w:rPr>
      </w:pPr>
      <w:r w:rsidRPr="0034768A">
        <w:rPr>
          <w:rFonts w:ascii="標楷體" w:eastAsia="標楷體" w:hAnsi="標楷體"/>
          <w:sz w:val="28"/>
          <w:szCs w:val="28"/>
        </w:rPr>
        <w:t>一、</w:t>
      </w:r>
      <w:r w:rsidRPr="0034768A">
        <w:rPr>
          <w:rFonts w:ascii="標楷體" w:eastAsia="標楷體" w:hAnsi="標楷體" w:hint="eastAsia"/>
          <w:sz w:val="28"/>
          <w:szCs w:val="28"/>
        </w:rPr>
        <w:t>臨接建築線寬度二公尺以上，其深度自建築線起扣除騎樓之深度後最小為一點五公尺以上。</w:t>
      </w:r>
    </w:p>
    <w:p w:rsidR="0034768A" w:rsidRPr="0034768A" w:rsidRDefault="0034768A" w:rsidP="0034768A">
      <w:pPr>
        <w:kinsoku w:val="0"/>
        <w:overflowPunct w:val="0"/>
        <w:adjustRightInd w:val="0"/>
        <w:snapToGrid w:val="0"/>
        <w:spacing w:line="460" w:lineRule="exact"/>
        <w:ind w:leftChars="650" w:left="2126" w:hangingChars="202" w:hanging="566"/>
        <w:jc w:val="both"/>
        <w:rPr>
          <w:rFonts w:ascii="標楷體" w:eastAsia="標楷體" w:hAnsi="標楷體"/>
          <w:sz w:val="28"/>
          <w:szCs w:val="28"/>
        </w:rPr>
      </w:pPr>
      <w:r w:rsidRPr="0034768A">
        <w:rPr>
          <w:rFonts w:ascii="標楷體" w:eastAsia="標楷體" w:hAnsi="標楷體"/>
          <w:sz w:val="28"/>
          <w:szCs w:val="28"/>
        </w:rPr>
        <w:t>二、</w:t>
      </w:r>
      <w:r w:rsidRPr="0034768A">
        <w:rPr>
          <w:rFonts w:ascii="標楷體" w:eastAsia="標楷體" w:hAnsi="標楷體" w:hint="eastAsia"/>
          <w:sz w:val="28"/>
          <w:szCs w:val="28"/>
        </w:rPr>
        <w:t>建物拆除後剩餘部分符合結構安全。</w:t>
      </w:r>
    </w:p>
    <w:p w:rsidR="0034768A" w:rsidRPr="0034768A" w:rsidRDefault="0034768A" w:rsidP="0034768A">
      <w:pPr>
        <w:kinsoku w:val="0"/>
        <w:overflowPunct w:val="0"/>
        <w:adjustRightInd w:val="0"/>
        <w:snapToGrid w:val="0"/>
        <w:spacing w:line="460" w:lineRule="exact"/>
        <w:ind w:leftChars="354" w:left="850" w:firstLineChars="252" w:firstLine="706"/>
        <w:jc w:val="both"/>
        <w:rPr>
          <w:rFonts w:ascii="標楷體" w:eastAsia="標楷體" w:hAnsi="標楷體"/>
          <w:sz w:val="28"/>
          <w:szCs w:val="28"/>
        </w:rPr>
      </w:pPr>
      <w:r w:rsidRPr="0034768A">
        <w:rPr>
          <w:rFonts w:ascii="標楷體" w:eastAsia="標楷體" w:hAnsi="標楷體" w:hint="eastAsia"/>
          <w:sz w:val="28"/>
          <w:szCs w:val="28"/>
        </w:rPr>
        <w:t>建物部分拆除之界線，應以建築線為準，其計算損失補償費時，建物拆除面積依拆除界線得向內延伸零點五公尺。</w:t>
      </w:r>
    </w:p>
    <w:p w:rsidR="0034768A" w:rsidRPr="0034768A" w:rsidRDefault="0034768A" w:rsidP="0034768A">
      <w:pPr>
        <w:tabs>
          <w:tab w:val="left" w:pos="1110"/>
        </w:tabs>
        <w:kinsoku w:val="0"/>
        <w:overflowPunct w:val="0"/>
        <w:adjustRightInd w:val="0"/>
        <w:snapToGrid w:val="0"/>
        <w:spacing w:line="460" w:lineRule="exact"/>
        <w:ind w:left="840" w:hangingChars="300" w:hanging="840"/>
        <w:jc w:val="both"/>
        <w:rPr>
          <w:rFonts w:ascii="標楷體" w:eastAsia="標楷體" w:hAnsi="標楷體"/>
          <w:sz w:val="28"/>
          <w:szCs w:val="28"/>
        </w:rPr>
      </w:pPr>
      <w:r w:rsidRPr="0034768A">
        <w:rPr>
          <w:rFonts w:ascii="標楷體" w:eastAsia="標楷體" w:hAnsi="標楷體"/>
          <w:sz w:val="28"/>
          <w:szCs w:val="28"/>
        </w:rPr>
        <w:t>第</w:t>
      </w:r>
      <w:r w:rsidRPr="0034768A">
        <w:rPr>
          <w:rFonts w:ascii="標楷體" w:eastAsia="標楷體" w:hAnsi="標楷體" w:hint="eastAsia"/>
          <w:sz w:val="28"/>
          <w:szCs w:val="28"/>
        </w:rPr>
        <w:t>六</w:t>
      </w:r>
      <w:r w:rsidRPr="0034768A">
        <w:rPr>
          <w:rFonts w:ascii="標楷體" w:eastAsia="標楷體" w:hAnsi="標楷體"/>
          <w:sz w:val="28"/>
          <w:szCs w:val="28"/>
        </w:rPr>
        <w:t>條</w:t>
      </w:r>
      <w:r w:rsidRPr="0034768A">
        <w:rPr>
          <w:rFonts w:ascii="標楷體" w:eastAsia="標楷體" w:hAnsi="標楷體" w:hint="eastAsia"/>
          <w:sz w:val="28"/>
          <w:szCs w:val="28"/>
        </w:rPr>
        <w:t xml:space="preserve">    徵收公告六個月前設有戶籍之人口必須遷移者，依下列規定發放人口遷移費。但因結婚、出生、收養或認領而設籍者，不受六個月期限之限制：</w:t>
      </w:r>
    </w:p>
    <w:p w:rsidR="0034768A" w:rsidRPr="0034768A" w:rsidRDefault="0034768A" w:rsidP="0034768A">
      <w:pPr>
        <w:kinsoku w:val="0"/>
        <w:overflowPunct w:val="0"/>
        <w:adjustRightInd w:val="0"/>
        <w:snapToGrid w:val="0"/>
        <w:spacing w:line="460" w:lineRule="exact"/>
        <w:ind w:leftChars="650" w:left="2126" w:hangingChars="202" w:hanging="566"/>
        <w:jc w:val="both"/>
        <w:rPr>
          <w:rFonts w:ascii="標楷體" w:eastAsia="標楷體" w:hAnsi="標楷體"/>
          <w:sz w:val="28"/>
          <w:szCs w:val="28"/>
        </w:rPr>
      </w:pPr>
      <w:r w:rsidRPr="0034768A">
        <w:rPr>
          <w:rFonts w:ascii="標楷體" w:eastAsia="標楷體" w:hAnsi="標楷體" w:hint="eastAsia"/>
          <w:sz w:val="28"/>
          <w:szCs w:val="28"/>
        </w:rPr>
        <w:t>一、建物全部拆除之人口遷移費：</w:t>
      </w:r>
    </w:p>
    <w:p w:rsidR="0034768A" w:rsidRPr="0034768A" w:rsidRDefault="0034768A" w:rsidP="0034768A">
      <w:pPr>
        <w:kinsoku w:val="0"/>
        <w:overflowPunct w:val="0"/>
        <w:adjustRightInd w:val="0"/>
        <w:snapToGrid w:val="0"/>
        <w:spacing w:line="460" w:lineRule="exact"/>
        <w:ind w:leftChars="830" w:left="2552" w:hangingChars="200" w:hanging="560"/>
        <w:jc w:val="both"/>
        <w:rPr>
          <w:rFonts w:ascii="標楷體" w:eastAsia="標楷體" w:hAnsi="標楷體"/>
          <w:sz w:val="28"/>
          <w:szCs w:val="28"/>
        </w:rPr>
      </w:pPr>
      <w:r w:rsidRPr="0034768A">
        <w:rPr>
          <w:rFonts w:ascii="標楷體" w:eastAsia="標楷體" w:hAnsi="標楷體" w:hint="eastAsia"/>
          <w:sz w:val="28"/>
          <w:szCs w:val="28"/>
        </w:rPr>
        <w:t>（一）單身者每戶新臺幣三萬四千元。</w:t>
      </w:r>
    </w:p>
    <w:p w:rsidR="0034768A" w:rsidRPr="0034768A" w:rsidRDefault="0034768A" w:rsidP="0034768A">
      <w:pPr>
        <w:kinsoku w:val="0"/>
        <w:overflowPunct w:val="0"/>
        <w:adjustRightInd w:val="0"/>
        <w:snapToGrid w:val="0"/>
        <w:spacing w:line="460" w:lineRule="exact"/>
        <w:ind w:leftChars="830" w:left="2552" w:hangingChars="200" w:hanging="560"/>
        <w:jc w:val="both"/>
        <w:rPr>
          <w:rFonts w:ascii="標楷體" w:eastAsia="標楷體" w:hAnsi="標楷體"/>
          <w:sz w:val="28"/>
          <w:szCs w:val="28"/>
        </w:rPr>
      </w:pPr>
      <w:r w:rsidRPr="0034768A">
        <w:rPr>
          <w:rFonts w:ascii="標楷體" w:eastAsia="標楷體" w:hAnsi="標楷體" w:hint="eastAsia"/>
          <w:sz w:val="28"/>
          <w:szCs w:val="28"/>
        </w:rPr>
        <w:t>（二）二人以上四人以下者，每戶新臺幣六萬七千元。</w:t>
      </w:r>
    </w:p>
    <w:p w:rsidR="0034768A" w:rsidRPr="0034768A" w:rsidRDefault="0034768A" w:rsidP="0034768A">
      <w:pPr>
        <w:kinsoku w:val="0"/>
        <w:overflowPunct w:val="0"/>
        <w:adjustRightInd w:val="0"/>
        <w:snapToGrid w:val="0"/>
        <w:spacing w:line="460" w:lineRule="exact"/>
        <w:ind w:leftChars="830" w:left="2552" w:hangingChars="200" w:hanging="560"/>
        <w:jc w:val="both"/>
        <w:rPr>
          <w:rFonts w:ascii="標楷體" w:eastAsia="標楷體" w:hAnsi="標楷體"/>
          <w:sz w:val="28"/>
          <w:szCs w:val="28"/>
        </w:rPr>
      </w:pPr>
      <w:r w:rsidRPr="0034768A">
        <w:rPr>
          <w:rFonts w:ascii="標楷體" w:eastAsia="標楷體" w:hAnsi="標楷體" w:hint="eastAsia"/>
          <w:sz w:val="28"/>
          <w:szCs w:val="28"/>
        </w:rPr>
        <w:t>（三）五人者每戶新臺幣八萬四千元。</w:t>
      </w:r>
    </w:p>
    <w:p w:rsidR="0034768A" w:rsidRPr="0034768A" w:rsidRDefault="0034768A" w:rsidP="0034768A">
      <w:pPr>
        <w:kinsoku w:val="0"/>
        <w:overflowPunct w:val="0"/>
        <w:adjustRightInd w:val="0"/>
        <w:snapToGrid w:val="0"/>
        <w:spacing w:line="460" w:lineRule="exact"/>
        <w:ind w:leftChars="830" w:left="2552" w:hangingChars="200" w:hanging="560"/>
        <w:jc w:val="both"/>
        <w:rPr>
          <w:rFonts w:ascii="標楷體" w:eastAsia="標楷體" w:hAnsi="標楷體"/>
          <w:sz w:val="28"/>
          <w:szCs w:val="28"/>
        </w:rPr>
      </w:pPr>
      <w:r w:rsidRPr="0034768A">
        <w:rPr>
          <w:rFonts w:ascii="標楷體" w:eastAsia="標楷體" w:hAnsi="標楷體" w:hint="eastAsia"/>
          <w:sz w:val="28"/>
          <w:szCs w:val="28"/>
        </w:rPr>
        <w:t>（四）六人以上者每戶新臺幣十萬一千元。</w:t>
      </w:r>
    </w:p>
    <w:p w:rsidR="0034768A" w:rsidRPr="0034768A" w:rsidRDefault="0034768A" w:rsidP="0034768A">
      <w:pPr>
        <w:kinsoku w:val="0"/>
        <w:overflowPunct w:val="0"/>
        <w:adjustRightInd w:val="0"/>
        <w:snapToGrid w:val="0"/>
        <w:spacing w:line="460" w:lineRule="exact"/>
        <w:ind w:leftChars="650" w:left="2126" w:hangingChars="202" w:hanging="566"/>
        <w:jc w:val="both"/>
        <w:rPr>
          <w:rFonts w:ascii="標楷體" w:eastAsia="標楷體" w:hAnsi="標楷體"/>
          <w:sz w:val="28"/>
          <w:szCs w:val="28"/>
        </w:rPr>
      </w:pPr>
      <w:r w:rsidRPr="0034768A">
        <w:rPr>
          <w:rFonts w:ascii="標楷體" w:eastAsia="標楷體" w:hAnsi="標楷體" w:hint="eastAsia"/>
          <w:sz w:val="28"/>
          <w:szCs w:val="28"/>
        </w:rPr>
        <w:t>二、建物部分拆除之人口暫行遷移費：</w:t>
      </w:r>
    </w:p>
    <w:p w:rsidR="0034768A" w:rsidRPr="0034768A" w:rsidRDefault="0034768A" w:rsidP="0034768A">
      <w:pPr>
        <w:kinsoku w:val="0"/>
        <w:overflowPunct w:val="0"/>
        <w:adjustRightInd w:val="0"/>
        <w:snapToGrid w:val="0"/>
        <w:spacing w:line="460" w:lineRule="exact"/>
        <w:ind w:leftChars="830" w:left="2552" w:hangingChars="200" w:hanging="560"/>
        <w:jc w:val="both"/>
        <w:rPr>
          <w:rFonts w:ascii="標楷體" w:eastAsia="標楷體" w:hAnsi="標楷體"/>
          <w:sz w:val="28"/>
          <w:szCs w:val="28"/>
        </w:rPr>
      </w:pPr>
      <w:r w:rsidRPr="0034768A">
        <w:rPr>
          <w:rFonts w:ascii="標楷體" w:eastAsia="標楷體" w:hAnsi="標楷體" w:hint="eastAsia"/>
          <w:sz w:val="28"/>
          <w:szCs w:val="28"/>
        </w:rPr>
        <w:t>（一）單身者每戶新臺幣二萬六千元。</w:t>
      </w:r>
    </w:p>
    <w:p w:rsidR="0034768A" w:rsidRPr="0034768A" w:rsidRDefault="0034768A" w:rsidP="0034768A">
      <w:pPr>
        <w:kinsoku w:val="0"/>
        <w:overflowPunct w:val="0"/>
        <w:adjustRightInd w:val="0"/>
        <w:snapToGrid w:val="0"/>
        <w:spacing w:line="460" w:lineRule="exact"/>
        <w:ind w:leftChars="830" w:left="2552" w:hangingChars="200" w:hanging="560"/>
        <w:jc w:val="both"/>
        <w:rPr>
          <w:rFonts w:ascii="標楷體" w:eastAsia="標楷體" w:hAnsi="標楷體"/>
          <w:sz w:val="28"/>
          <w:szCs w:val="28"/>
        </w:rPr>
      </w:pPr>
      <w:r w:rsidRPr="0034768A">
        <w:rPr>
          <w:rFonts w:ascii="標楷體" w:eastAsia="標楷體" w:hAnsi="標楷體" w:hint="eastAsia"/>
          <w:sz w:val="28"/>
          <w:szCs w:val="28"/>
        </w:rPr>
        <w:t>（二）二人以上四人以下者，每戶新臺幣五萬四千元。</w:t>
      </w:r>
    </w:p>
    <w:p w:rsidR="0034768A" w:rsidRPr="0034768A" w:rsidRDefault="0034768A" w:rsidP="0034768A">
      <w:pPr>
        <w:kinsoku w:val="0"/>
        <w:overflowPunct w:val="0"/>
        <w:adjustRightInd w:val="0"/>
        <w:snapToGrid w:val="0"/>
        <w:spacing w:line="460" w:lineRule="exact"/>
        <w:ind w:leftChars="830" w:left="2552" w:hangingChars="200" w:hanging="560"/>
        <w:jc w:val="both"/>
        <w:rPr>
          <w:rFonts w:ascii="標楷體" w:eastAsia="標楷體" w:hAnsi="標楷體"/>
          <w:sz w:val="28"/>
          <w:szCs w:val="28"/>
        </w:rPr>
      </w:pPr>
      <w:r w:rsidRPr="0034768A">
        <w:rPr>
          <w:rFonts w:ascii="標楷體" w:eastAsia="標楷體" w:hAnsi="標楷體" w:hint="eastAsia"/>
          <w:sz w:val="28"/>
          <w:szCs w:val="28"/>
        </w:rPr>
        <w:t>（三）五人者每戶新臺幣六萬七千元。</w:t>
      </w:r>
    </w:p>
    <w:p w:rsidR="0034768A" w:rsidRPr="0034768A" w:rsidRDefault="0034768A" w:rsidP="0034768A">
      <w:pPr>
        <w:kinsoku w:val="0"/>
        <w:overflowPunct w:val="0"/>
        <w:adjustRightInd w:val="0"/>
        <w:snapToGrid w:val="0"/>
        <w:spacing w:line="460" w:lineRule="exact"/>
        <w:ind w:leftChars="830" w:left="2552" w:hangingChars="200" w:hanging="560"/>
        <w:jc w:val="both"/>
        <w:rPr>
          <w:rFonts w:ascii="標楷體" w:eastAsia="標楷體" w:hAnsi="標楷體"/>
          <w:sz w:val="28"/>
          <w:szCs w:val="28"/>
        </w:rPr>
      </w:pPr>
      <w:r w:rsidRPr="0034768A">
        <w:rPr>
          <w:rFonts w:ascii="標楷體" w:eastAsia="標楷體" w:hAnsi="標楷體" w:hint="eastAsia"/>
          <w:sz w:val="28"/>
          <w:szCs w:val="28"/>
        </w:rPr>
        <w:t>（四）六人以上者每戶新臺幣八萬元。</w:t>
      </w:r>
    </w:p>
    <w:p w:rsidR="0034768A" w:rsidRPr="0034768A" w:rsidRDefault="0034768A" w:rsidP="0034768A">
      <w:pPr>
        <w:kinsoku w:val="0"/>
        <w:overflowPunct w:val="0"/>
        <w:adjustRightInd w:val="0"/>
        <w:snapToGrid w:val="0"/>
        <w:spacing w:line="460" w:lineRule="exact"/>
        <w:ind w:leftChars="354" w:left="850" w:firstLineChars="252" w:firstLine="706"/>
        <w:jc w:val="both"/>
        <w:rPr>
          <w:rFonts w:ascii="標楷體" w:eastAsia="標楷體" w:hAnsi="標楷體"/>
          <w:sz w:val="28"/>
          <w:szCs w:val="28"/>
        </w:rPr>
      </w:pPr>
      <w:r w:rsidRPr="0034768A">
        <w:rPr>
          <w:rFonts w:ascii="標楷體" w:eastAsia="標楷體" w:hAnsi="標楷體" w:hint="eastAsia"/>
          <w:sz w:val="28"/>
          <w:szCs w:val="28"/>
        </w:rPr>
        <w:t>前項人口遷移費應由戶長代表領取。</w:t>
      </w:r>
    </w:p>
    <w:p w:rsidR="0034768A" w:rsidRPr="0034768A" w:rsidRDefault="0034768A" w:rsidP="0034768A">
      <w:pPr>
        <w:tabs>
          <w:tab w:val="left" w:pos="1110"/>
        </w:tabs>
        <w:kinsoku w:val="0"/>
        <w:overflowPunct w:val="0"/>
        <w:adjustRightInd w:val="0"/>
        <w:snapToGrid w:val="0"/>
        <w:spacing w:line="460" w:lineRule="exact"/>
        <w:ind w:left="840" w:hangingChars="300" w:hanging="840"/>
        <w:jc w:val="both"/>
        <w:rPr>
          <w:rFonts w:ascii="標楷體" w:eastAsia="標楷體" w:hAnsi="標楷體"/>
          <w:sz w:val="28"/>
          <w:szCs w:val="28"/>
        </w:rPr>
      </w:pPr>
      <w:r w:rsidRPr="0034768A">
        <w:rPr>
          <w:rFonts w:ascii="標楷體" w:eastAsia="標楷體" w:hAnsi="標楷體"/>
          <w:sz w:val="28"/>
          <w:szCs w:val="28"/>
        </w:rPr>
        <w:lastRenderedPageBreak/>
        <w:t>第</w:t>
      </w:r>
      <w:r w:rsidRPr="0034768A">
        <w:rPr>
          <w:rFonts w:ascii="標楷體" w:eastAsia="標楷體" w:hAnsi="標楷體" w:hint="eastAsia"/>
          <w:sz w:val="28"/>
          <w:szCs w:val="28"/>
        </w:rPr>
        <w:t>七</w:t>
      </w:r>
      <w:r w:rsidRPr="0034768A">
        <w:rPr>
          <w:rFonts w:ascii="標楷體" w:eastAsia="標楷體" w:hAnsi="標楷體"/>
          <w:sz w:val="28"/>
          <w:szCs w:val="28"/>
        </w:rPr>
        <w:t>條</w:t>
      </w:r>
      <w:r w:rsidRPr="0034768A">
        <w:rPr>
          <w:rFonts w:ascii="標楷體" w:eastAsia="標楷體" w:hAnsi="標楷體" w:hint="eastAsia"/>
          <w:sz w:val="28"/>
          <w:szCs w:val="28"/>
        </w:rPr>
        <w:t xml:space="preserve">    拆遷建物</w:t>
      </w:r>
      <w:r w:rsidRPr="0034768A">
        <w:rPr>
          <w:rFonts w:ascii="標楷體" w:eastAsia="標楷體" w:hAnsi="標楷體"/>
          <w:sz w:val="28"/>
          <w:szCs w:val="28"/>
        </w:rPr>
        <w:t>須遷移動力機具、生產原料或經營設備</w:t>
      </w:r>
      <w:r w:rsidRPr="0034768A">
        <w:rPr>
          <w:rFonts w:ascii="標楷體" w:eastAsia="標楷體" w:hAnsi="標楷體" w:hint="eastAsia"/>
          <w:sz w:val="28"/>
          <w:szCs w:val="28"/>
        </w:rPr>
        <w:t>等</w:t>
      </w:r>
      <w:r w:rsidRPr="0034768A">
        <w:rPr>
          <w:rFonts w:ascii="標楷體" w:eastAsia="標楷體" w:hAnsi="標楷體"/>
          <w:sz w:val="28"/>
          <w:szCs w:val="28"/>
        </w:rPr>
        <w:t>，</w:t>
      </w:r>
      <w:r w:rsidRPr="0034768A">
        <w:rPr>
          <w:rFonts w:ascii="標楷體" w:eastAsia="標楷體" w:hAnsi="標楷體" w:hint="eastAsia"/>
          <w:sz w:val="28"/>
          <w:szCs w:val="28"/>
        </w:rPr>
        <w:t>所需之拆卸、搬運及安裝費用按附表四標準補助</w:t>
      </w:r>
      <w:r w:rsidRPr="0034768A">
        <w:rPr>
          <w:rFonts w:ascii="標楷體" w:eastAsia="標楷體" w:hAnsi="標楷體"/>
          <w:sz w:val="28"/>
          <w:szCs w:val="28"/>
        </w:rPr>
        <w:t>。</w:t>
      </w:r>
    </w:p>
    <w:p w:rsidR="0034768A" w:rsidRPr="0034768A" w:rsidRDefault="0034768A" w:rsidP="0034768A">
      <w:pPr>
        <w:kinsoku w:val="0"/>
        <w:overflowPunct w:val="0"/>
        <w:adjustRightInd w:val="0"/>
        <w:snapToGrid w:val="0"/>
        <w:spacing w:line="460" w:lineRule="exact"/>
        <w:ind w:leftChars="354" w:left="850" w:firstLineChars="252" w:firstLine="706"/>
        <w:jc w:val="both"/>
        <w:rPr>
          <w:rFonts w:ascii="標楷體" w:eastAsia="標楷體" w:hAnsi="標楷體"/>
          <w:sz w:val="28"/>
          <w:szCs w:val="28"/>
        </w:rPr>
      </w:pPr>
      <w:r w:rsidRPr="0034768A">
        <w:rPr>
          <w:rFonts w:ascii="標楷體" w:eastAsia="標楷體" w:hAnsi="標楷體" w:hint="eastAsia"/>
          <w:sz w:val="28"/>
          <w:szCs w:val="28"/>
        </w:rPr>
        <w:t>前項遷移須配合拆遷電力、自來水或瓦斯外線者，其補助查定標</w:t>
      </w:r>
      <w:r w:rsidRPr="0034768A">
        <w:rPr>
          <w:rFonts w:ascii="標楷體" w:eastAsia="標楷體" w:hAnsi="標楷體"/>
          <w:sz w:val="28"/>
          <w:szCs w:val="28"/>
        </w:rPr>
        <w:t>準如下：</w:t>
      </w:r>
    </w:p>
    <w:p w:rsidR="0034768A" w:rsidRPr="0034768A" w:rsidRDefault="0034768A" w:rsidP="0034768A">
      <w:pPr>
        <w:kinsoku w:val="0"/>
        <w:overflowPunct w:val="0"/>
        <w:adjustRightInd w:val="0"/>
        <w:snapToGrid w:val="0"/>
        <w:spacing w:line="460" w:lineRule="exact"/>
        <w:ind w:leftChars="650" w:left="2126" w:hangingChars="202" w:hanging="566"/>
        <w:jc w:val="both"/>
        <w:rPr>
          <w:rFonts w:ascii="標楷體" w:eastAsia="標楷體" w:hAnsi="標楷體"/>
          <w:sz w:val="28"/>
          <w:szCs w:val="28"/>
        </w:rPr>
      </w:pPr>
      <w:r w:rsidRPr="0034768A">
        <w:rPr>
          <w:rFonts w:ascii="標楷體" w:eastAsia="標楷體" w:hAnsi="標楷體" w:hint="eastAsia"/>
          <w:sz w:val="28"/>
          <w:szCs w:val="28"/>
        </w:rPr>
        <w:t>一、</w:t>
      </w:r>
      <w:r w:rsidRPr="0034768A">
        <w:rPr>
          <w:rFonts w:ascii="標楷體" w:eastAsia="標楷體" w:hAnsi="標楷體"/>
          <w:sz w:val="28"/>
          <w:szCs w:val="28"/>
        </w:rPr>
        <w:t>電力外線工程：</w:t>
      </w:r>
    </w:p>
    <w:p w:rsidR="0034768A" w:rsidRPr="0034768A" w:rsidRDefault="0034768A" w:rsidP="0034768A">
      <w:pPr>
        <w:kinsoku w:val="0"/>
        <w:overflowPunct w:val="0"/>
        <w:adjustRightInd w:val="0"/>
        <w:snapToGrid w:val="0"/>
        <w:spacing w:line="460" w:lineRule="exact"/>
        <w:ind w:leftChars="830" w:left="2692" w:hangingChars="250" w:hanging="700"/>
        <w:jc w:val="both"/>
        <w:rPr>
          <w:rFonts w:ascii="標楷體" w:eastAsia="標楷體" w:hAnsi="標楷體"/>
          <w:sz w:val="28"/>
          <w:szCs w:val="28"/>
        </w:rPr>
      </w:pPr>
      <w:r w:rsidRPr="0034768A">
        <w:rPr>
          <w:rFonts w:ascii="標楷體" w:eastAsia="標楷體" w:hAnsi="標楷體"/>
          <w:sz w:val="28"/>
          <w:szCs w:val="28"/>
        </w:rPr>
        <w:t>（一）建物全部拆除者，以查估前一個月之電費收據所載契約容量，按</w:t>
      </w:r>
      <w:r w:rsidRPr="0034768A">
        <w:rPr>
          <w:rFonts w:ascii="標楷體" w:eastAsia="標楷體" w:hAnsi="標楷體" w:hint="eastAsia"/>
          <w:sz w:val="28"/>
          <w:szCs w:val="28"/>
        </w:rPr>
        <w:t>附表五</w:t>
      </w:r>
      <w:r w:rsidRPr="0034768A">
        <w:rPr>
          <w:rFonts w:ascii="標楷體" w:eastAsia="標楷體" w:hAnsi="標楷體"/>
          <w:sz w:val="28"/>
          <w:szCs w:val="28"/>
        </w:rPr>
        <w:t>標準補助</w:t>
      </w:r>
      <w:r w:rsidRPr="0034768A">
        <w:rPr>
          <w:rFonts w:ascii="標楷體" w:eastAsia="標楷體" w:hAnsi="標楷體" w:hint="eastAsia"/>
          <w:sz w:val="28"/>
          <w:szCs w:val="28"/>
        </w:rPr>
        <w:t>。</w:t>
      </w:r>
    </w:p>
    <w:p w:rsidR="0034768A" w:rsidRPr="0034768A" w:rsidRDefault="0034768A" w:rsidP="0034768A">
      <w:pPr>
        <w:kinsoku w:val="0"/>
        <w:overflowPunct w:val="0"/>
        <w:adjustRightInd w:val="0"/>
        <w:snapToGrid w:val="0"/>
        <w:spacing w:line="460" w:lineRule="exact"/>
        <w:ind w:leftChars="830" w:left="2692" w:hangingChars="250" w:hanging="700"/>
        <w:jc w:val="both"/>
        <w:rPr>
          <w:rFonts w:ascii="標楷體" w:eastAsia="標楷體" w:hAnsi="標楷體"/>
          <w:sz w:val="28"/>
          <w:szCs w:val="28"/>
        </w:rPr>
      </w:pPr>
      <w:r w:rsidRPr="0034768A">
        <w:rPr>
          <w:rFonts w:ascii="標楷體" w:eastAsia="標楷體" w:hAnsi="標楷體"/>
          <w:sz w:val="28"/>
          <w:szCs w:val="28"/>
        </w:rPr>
        <w:t>（二）建物部分拆除，能繼續生產或營業者，不予補助。但維持原契約容量須另繳外線補助費者，得於限期拆除三個月內，</w:t>
      </w:r>
      <w:r w:rsidRPr="0034768A">
        <w:rPr>
          <w:rFonts w:ascii="標楷體" w:eastAsia="標楷體" w:hAnsi="標楷體" w:hint="eastAsia"/>
          <w:sz w:val="28"/>
          <w:szCs w:val="28"/>
        </w:rPr>
        <w:t>按</w:t>
      </w:r>
      <w:r w:rsidRPr="0034768A">
        <w:rPr>
          <w:rFonts w:ascii="標楷體" w:eastAsia="標楷體" w:hAnsi="標楷體"/>
          <w:sz w:val="28"/>
          <w:szCs w:val="28"/>
        </w:rPr>
        <w:t>檢附電力公司線路補助費之憑證金額補助。</w:t>
      </w:r>
    </w:p>
    <w:p w:rsidR="0034768A" w:rsidRPr="0034768A" w:rsidRDefault="0034768A" w:rsidP="0034768A">
      <w:pPr>
        <w:kinsoku w:val="0"/>
        <w:overflowPunct w:val="0"/>
        <w:adjustRightInd w:val="0"/>
        <w:snapToGrid w:val="0"/>
        <w:spacing w:line="460" w:lineRule="exact"/>
        <w:ind w:leftChars="830" w:left="2692" w:hangingChars="250" w:hanging="700"/>
        <w:jc w:val="both"/>
        <w:rPr>
          <w:rFonts w:ascii="標楷體" w:eastAsia="標楷體" w:hAnsi="標楷體"/>
          <w:sz w:val="28"/>
          <w:szCs w:val="28"/>
        </w:rPr>
      </w:pPr>
      <w:r w:rsidRPr="0034768A">
        <w:rPr>
          <w:rFonts w:ascii="標楷體" w:eastAsia="標楷體" w:hAnsi="標楷體"/>
          <w:sz w:val="28"/>
          <w:szCs w:val="28"/>
        </w:rPr>
        <w:t>（三）建物部分拆除確無法繼續生產者，得按第一</w:t>
      </w:r>
      <w:r w:rsidRPr="0034768A">
        <w:rPr>
          <w:rFonts w:ascii="標楷體" w:eastAsia="標楷體" w:hAnsi="標楷體" w:hint="eastAsia"/>
          <w:sz w:val="28"/>
          <w:szCs w:val="28"/>
        </w:rPr>
        <w:t>目</w:t>
      </w:r>
      <w:r w:rsidRPr="0034768A">
        <w:rPr>
          <w:rFonts w:ascii="標楷體" w:eastAsia="標楷體" w:hAnsi="標楷體"/>
          <w:sz w:val="28"/>
          <w:szCs w:val="28"/>
        </w:rPr>
        <w:t>計算補助</w:t>
      </w:r>
      <w:r w:rsidRPr="0034768A">
        <w:rPr>
          <w:rFonts w:ascii="標楷體" w:eastAsia="標楷體" w:hAnsi="標楷體" w:hint="eastAsia"/>
          <w:sz w:val="28"/>
          <w:szCs w:val="28"/>
        </w:rPr>
        <w:t>。</w:t>
      </w:r>
    </w:p>
    <w:p w:rsidR="0034768A" w:rsidRPr="0034768A" w:rsidRDefault="0034768A" w:rsidP="0034768A">
      <w:pPr>
        <w:kinsoku w:val="0"/>
        <w:overflowPunct w:val="0"/>
        <w:adjustRightInd w:val="0"/>
        <w:snapToGrid w:val="0"/>
        <w:spacing w:line="460" w:lineRule="exact"/>
        <w:ind w:leftChars="650" w:left="2126" w:hangingChars="202" w:hanging="566"/>
        <w:jc w:val="both"/>
        <w:rPr>
          <w:rFonts w:ascii="標楷體" w:eastAsia="標楷體" w:hAnsi="標楷體"/>
          <w:sz w:val="28"/>
          <w:szCs w:val="28"/>
        </w:rPr>
      </w:pPr>
      <w:r w:rsidRPr="0034768A">
        <w:rPr>
          <w:rFonts w:ascii="標楷體" w:eastAsia="標楷體" w:hAnsi="標楷體" w:hint="eastAsia"/>
          <w:sz w:val="28"/>
          <w:szCs w:val="28"/>
        </w:rPr>
        <w:t>二、</w:t>
      </w:r>
      <w:r w:rsidRPr="0034768A">
        <w:rPr>
          <w:rFonts w:ascii="標楷體" w:eastAsia="標楷體" w:hAnsi="標楷體"/>
          <w:sz w:val="28"/>
          <w:szCs w:val="28"/>
        </w:rPr>
        <w:t>自來水外線工程：</w:t>
      </w:r>
    </w:p>
    <w:p w:rsidR="0034768A" w:rsidRPr="0034768A" w:rsidRDefault="0034768A" w:rsidP="0034768A">
      <w:pPr>
        <w:kinsoku w:val="0"/>
        <w:overflowPunct w:val="0"/>
        <w:adjustRightInd w:val="0"/>
        <w:snapToGrid w:val="0"/>
        <w:spacing w:line="460" w:lineRule="exact"/>
        <w:ind w:leftChars="830" w:left="2692" w:hangingChars="250" w:hanging="700"/>
        <w:jc w:val="both"/>
        <w:rPr>
          <w:rFonts w:ascii="標楷體" w:eastAsia="標楷體" w:hAnsi="標楷體"/>
          <w:sz w:val="28"/>
          <w:szCs w:val="28"/>
        </w:rPr>
      </w:pPr>
      <w:r w:rsidRPr="0034768A">
        <w:rPr>
          <w:rFonts w:ascii="標楷體" w:eastAsia="標楷體" w:hAnsi="標楷體"/>
          <w:sz w:val="28"/>
          <w:szCs w:val="28"/>
        </w:rPr>
        <w:t>（一）建物全拆者，按自來水公司所訂用水設備外線價格表之標準檢據補助。</w:t>
      </w:r>
    </w:p>
    <w:p w:rsidR="0034768A" w:rsidRPr="0034768A" w:rsidRDefault="0034768A" w:rsidP="0034768A">
      <w:pPr>
        <w:kinsoku w:val="0"/>
        <w:overflowPunct w:val="0"/>
        <w:adjustRightInd w:val="0"/>
        <w:snapToGrid w:val="0"/>
        <w:spacing w:line="460" w:lineRule="exact"/>
        <w:ind w:leftChars="830" w:left="2692" w:hangingChars="250" w:hanging="700"/>
        <w:jc w:val="both"/>
        <w:rPr>
          <w:rFonts w:ascii="標楷體" w:eastAsia="標楷體" w:hAnsi="標楷體"/>
          <w:sz w:val="28"/>
          <w:szCs w:val="28"/>
        </w:rPr>
      </w:pPr>
      <w:r w:rsidRPr="0034768A">
        <w:rPr>
          <w:rFonts w:ascii="標楷體" w:eastAsia="標楷體" w:hAnsi="標楷體"/>
          <w:sz w:val="28"/>
          <w:szCs w:val="28"/>
        </w:rPr>
        <w:t>（二）建物部分拆除者，維持原用水量範圍內須向自來水公司繳外線工程費者，得於限期拆除三個月內，</w:t>
      </w:r>
      <w:r w:rsidRPr="0034768A">
        <w:rPr>
          <w:rFonts w:ascii="標楷體" w:eastAsia="標楷體" w:hAnsi="標楷體" w:hint="eastAsia"/>
          <w:sz w:val="28"/>
          <w:szCs w:val="28"/>
        </w:rPr>
        <w:t>按</w:t>
      </w:r>
      <w:r w:rsidRPr="0034768A">
        <w:rPr>
          <w:rFonts w:ascii="標楷體" w:eastAsia="標楷體" w:hAnsi="標楷體"/>
          <w:sz w:val="28"/>
          <w:szCs w:val="28"/>
        </w:rPr>
        <w:t>檢附自來水公司憑證金額補助。</w:t>
      </w:r>
    </w:p>
    <w:p w:rsidR="0034768A" w:rsidRPr="0034768A" w:rsidRDefault="0034768A" w:rsidP="0034768A">
      <w:pPr>
        <w:kinsoku w:val="0"/>
        <w:overflowPunct w:val="0"/>
        <w:adjustRightInd w:val="0"/>
        <w:snapToGrid w:val="0"/>
        <w:spacing w:line="460" w:lineRule="exact"/>
        <w:ind w:leftChars="830" w:left="2692" w:hangingChars="250" w:hanging="700"/>
        <w:jc w:val="both"/>
        <w:rPr>
          <w:rFonts w:ascii="標楷體" w:eastAsia="標楷體" w:hAnsi="標楷體"/>
          <w:sz w:val="28"/>
          <w:szCs w:val="28"/>
        </w:rPr>
      </w:pPr>
      <w:r w:rsidRPr="0034768A">
        <w:rPr>
          <w:rFonts w:ascii="標楷體" w:eastAsia="標楷體" w:hAnsi="標楷體"/>
          <w:sz w:val="28"/>
          <w:szCs w:val="28"/>
        </w:rPr>
        <w:t>（三）建物部分拆除，確無法繼續生產或營業者，得按第一</w:t>
      </w:r>
      <w:r w:rsidRPr="0034768A">
        <w:rPr>
          <w:rFonts w:ascii="標楷體" w:eastAsia="標楷體" w:hAnsi="標楷體" w:hint="eastAsia"/>
          <w:sz w:val="28"/>
          <w:szCs w:val="28"/>
        </w:rPr>
        <w:t>目</w:t>
      </w:r>
      <w:r w:rsidRPr="0034768A">
        <w:rPr>
          <w:rFonts w:ascii="標楷體" w:eastAsia="標楷體" w:hAnsi="標楷體"/>
          <w:sz w:val="28"/>
          <w:szCs w:val="28"/>
        </w:rPr>
        <w:t>計算補助。</w:t>
      </w:r>
    </w:p>
    <w:p w:rsidR="0034768A" w:rsidRPr="0034768A" w:rsidRDefault="0034768A" w:rsidP="0034768A">
      <w:pPr>
        <w:kinsoku w:val="0"/>
        <w:overflowPunct w:val="0"/>
        <w:adjustRightInd w:val="0"/>
        <w:snapToGrid w:val="0"/>
        <w:spacing w:line="460" w:lineRule="exact"/>
        <w:ind w:leftChars="650" w:left="2126" w:hangingChars="202" w:hanging="566"/>
        <w:jc w:val="both"/>
        <w:rPr>
          <w:rFonts w:ascii="標楷體" w:eastAsia="標楷體" w:hAnsi="標楷體"/>
          <w:sz w:val="28"/>
          <w:szCs w:val="28"/>
        </w:rPr>
      </w:pPr>
      <w:r w:rsidRPr="0034768A">
        <w:rPr>
          <w:rFonts w:ascii="標楷體" w:eastAsia="標楷體" w:hAnsi="標楷體" w:hint="eastAsia"/>
          <w:sz w:val="28"/>
          <w:szCs w:val="28"/>
        </w:rPr>
        <w:t>三、</w:t>
      </w:r>
      <w:r w:rsidRPr="0034768A">
        <w:rPr>
          <w:rFonts w:ascii="標楷體" w:eastAsia="標楷體" w:hAnsi="標楷體"/>
          <w:sz w:val="28"/>
          <w:szCs w:val="28"/>
        </w:rPr>
        <w:t>瓦斯外線工程依瓦斯公司之計算標準，比照前</w:t>
      </w:r>
      <w:r w:rsidRPr="0034768A">
        <w:rPr>
          <w:rFonts w:ascii="標楷體" w:eastAsia="標楷體" w:hAnsi="標楷體" w:hint="eastAsia"/>
          <w:sz w:val="28"/>
          <w:szCs w:val="28"/>
        </w:rPr>
        <w:t>款</w:t>
      </w:r>
      <w:r w:rsidRPr="0034768A">
        <w:rPr>
          <w:rFonts w:ascii="標楷體" w:eastAsia="標楷體" w:hAnsi="標楷體"/>
          <w:sz w:val="28"/>
          <w:szCs w:val="28"/>
        </w:rPr>
        <w:t>規定辦理。</w:t>
      </w:r>
    </w:p>
    <w:p w:rsidR="0034768A" w:rsidRPr="0034768A" w:rsidRDefault="0034768A" w:rsidP="0034768A">
      <w:pPr>
        <w:tabs>
          <w:tab w:val="left" w:pos="1110"/>
        </w:tabs>
        <w:kinsoku w:val="0"/>
        <w:overflowPunct w:val="0"/>
        <w:adjustRightInd w:val="0"/>
        <w:snapToGrid w:val="0"/>
        <w:spacing w:line="460" w:lineRule="exact"/>
        <w:ind w:left="840" w:hangingChars="300" w:hanging="840"/>
        <w:jc w:val="both"/>
        <w:rPr>
          <w:rFonts w:ascii="標楷體" w:eastAsia="標楷體" w:hAnsi="標楷體"/>
          <w:sz w:val="28"/>
          <w:szCs w:val="28"/>
        </w:rPr>
      </w:pPr>
      <w:r w:rsidRPr="0034768A">
        <w:rPr>
          <w:rFonts w:ascii="標楷體" w:eastAsia="標楷體" w:hAnsi="標楷體"/>
          <w:sz w:val="28"/>
          <w:szCs w:val="28"/>
        </w:rPr>
        <w:t>第</w:t>
      </w:r>
      <w:r w:rsidRPr="0034768A">
        <w:rPr>
          <w:rFonts w:ascii="標楷體" w:eastAsia="標楷體" w:hAnsi="標楷體" w:hint="eastAsia"/>
          <w:sz w:val="28"/>
          <w:szCs w:val="28"/>
        </w:rPr>
        <w:t>八</w:t>
      </w:r>
      <w:r w:rsidRPr="0034768A">
        <w:rPr>
          <w:rFonts w:ascii="標楷體" w:eastAsia="標楷體" w:hAnsi="標楷體"/>
          <w:sz w:val="28"/>
          <w:szCs w:val="28"/>
        </w:rPr>
        <w:t>條</w:t>
      </w:r>
      <w:r w:rsidRPr="0034768A">
        <w:rPr>
          <w:rFonts w:ascii="標楷體" w:eastAsia="標楷體" w:hAnsi="標楷體" w:hint="eastAsia"/>
          <w:sz w:val="28"/>
          <w:szCs w:val="28"/>
        </w:rPr>
        <w:t xml:space="preserve">    </w:t>
      </w:r>
      <w:r w:rsidRPr="0034768A">
        <w:rPr>
          <w:rFonts w:ascii="標楷體" w:eastAsia="標楷體" w:hAnsi="標楷體"/>
          <w:sz w:val="28"/>
          <w:szCs w:val="28"/>
        </w:rPr>
        <w:t>合法營業用建物，因</w:t>
      </w:r>
      <w:r w:rsidRPr="0034768A">
        <w:rPr>
          <w:rFonts w:ascii="標楷體" w:eastAsia="標楷體" w:hAnsi="標楷體" w:hint="eastAsia"/>
          <w:sz w:val="28"/>
          <w:szCs w:val="28"/>
        </w:rPr>
        <w:t>拆遷</w:t>
      </w:r>
      <w:r w:rsidRPr="0034768A">
        <w:rPr>
          <w:rFonts w:ascii="標楷體" w:eastAsia="標楷體" w:hAnsi="標楷體"/>
          <w:sz w:val="28"/>
          <w:szCs w:val="28"/>
        </w:rPr>
        <w:t>而致營業停止或營業規模縮小之損失，依</w:t>
      </w:r>
      <w:r w:rsidRPr="0034768A">
        <w:rPr>
          <w:rFonts w:ascii="標楷體" w:eastAsia="標楷體" w:hAnsi="標楷體" w:hint="eastAsia"/>
          <w:sz w:val="28"/>
          <w:szCs w:val="28"/>
        </w:rPr>
        <w:t>土地及土地</w:t>
      </w:r>
      <w:r w:rsidRPr="0034768A">
        <w:rPr>
          <w:rFonts w:ascii="標楷體" w:eastAsia="標楷體" w:hAnsi="標楷體"/>
          <w:sz w:val="28"/>
          <w:szCs w:val="28"/>
        </w:rPr>
        <w:t>改良物徵收營業損失補償基準辦理</w:t>
      </w:r>
      <w:r w:rsidRPr="0034768A">
        <w:rPr>
          <w:rFonts w:ascii="標楷體" w:eastAsia="標楷體" w:hAnsi="標楷體" w:hint="eastAsia"/>
          <w:sz w:val="28"/>
          <w:szCs w:val="28"/>
        </w:rPr>
        <w:t>。</w:t>
      </w:r>
    </w:p>
    <w:p w:rsidR="0034768A" w:rsidRPr="0034768A" w:rsidRDefault="0034768A" w:rsidP="0034768A">
      <w:pPr>
        <w:adjustRightInd w:val="0"/>
        <w:snapToGrid w:val="0"/>
        <w:spacing w:line="460" w:lineRule="exact"/>
        <w:ind w:left="840" w:hangingChars="300" w:hanging="840"/>
        <w:jc w:val="both"/>
        <w:rPr>
          <w:rFonts w:ascii="標楷體" w:eastAsia="標楷體" w:hAnsi="標楷體"/>
          <w:sz w:val="28"/>
          <w:szCs w:val="28"/>
        </w:rPr>
      </w:pPr>
      <w:r w:rsidRPr="0034768A">
        <w:rPr>
          <w:rFonts w:ascii="標楷體" w:eastAsia="標楷體" w:hAnsi="標楷體"/>
          <w:sz w:val="28"/>
          <w:szCs w:val="28"/>
        </w:rPr>
        <w:t>第</w:t>
      </w:r>
      <w:r w:rsidRPr="0034768A">
        <w:rPr>
          <w:rFonts w:ascii="標楷體" w:eastAsia="標楷體" w:hAnsi="標楷體" w:hint="eastAsia"/>
          <w:sz w:val="28"/>
          <w:szCs w:val="28"/>
        </w:rPr>
        <w:t>九</w:t>
      </w:r>
      <w:r w:rsidRPr="0034768A">
        <w:rPr>
          <w:rFonts w:ascii="標楷體" w:eastAsia="標楷體" w:hAnsi="標楷體"/>
          <w:sz w:val="28"/>
          <w:szCs w:val="28"/>
        </w:rPr>
        <w:t>條</w:t>
      </w:r>
      <w:r w:rsidRPr="0034768A">
        <w:rPr>
          <w:rFonts w:ascii="標楷體" w:eastAsia="標楷體" w:hAnsi="標楷體" w:hint="eastAsia"/>
          <w:sz w:val="28"/>
          <w:szCs w:val="28"/>
        </w:rPr>
        <w:t xml:space="preserve">    因辦理公共工程須拆遷第三條之建物，配合工程施工日前自動拆遷者，除依法發給損失補償費外，得按建築物補償費百分之七十發給自動拆遷獎勵金。</w:t>
      </w:r>
    </w:p>
    <w:p w:rsidR="0034768A" w:rsidRPr="0034768A" w:rsidRDefault="0034768A" w:rsidP="0034768A">
      <w:pPr>
        <w:spacing w:line="460" w:lineRule="exact"/>
        <w:ind w:left="840" w:hangingChars="300" w:hanging="840"/>
        <w:jc w:val="both"/>
        <w:rPr>
          <w:rFonts w:ascii="標楷體" w:eastAsia="標楷體" w:hAnsi="標楷體"/>
          <w:sz w:val="28"/>
          <w:szCs w:val="28"/>
        </w:rPr>
      </w:pPr>
      <w:r w:rsidRPr="0034768A">
        <w:rPr>
          <w:rFonts w:ascii="標楷體" w:eastAsia="標楷體" w:hAnsi="標楷體" w:hint="eastAsia"/>
          <w:sz w:val="28"/>
          <w:szCs w:val="28"/>
        </w:rPr>
        <w:t>第十條    第三條各款建物以外之其他建物，配合工程施工日前自動拆遷者，得按本自治條例所定建物補償標準百分之四十二發給拆遷</w:t>
      </w:r>
      <w:r w:rsidRPr="0034768A">
        <w:rPr>
          <w:rFonts w:ascii="標楷體" w:eastAsia="標楷體" w:hAnsi="標楷體" w:hint="eastAsia"/>
          <w:sz w:val="28"/>
          <w:szCs w:val="28"/>
        </w:rPr>
        <w:lastRenderedPageBreak/>
        <w:t>處理費。但中華民國九十九年十二月二十五日前已發布實施都市計畫並規定應辦理市地重劃或區段徵收之整體開發地區，於本自治條例中華民國一百零七年八月二十三日修正施行後始公告實施市地重劃或區段徵收計畫，並於上開修正日前興建完成之建物，得按本自治條例所定建物補償標準百分之七十發給救濟金，配合工程施工日前自動拆遷者，並得按該建物救濟金百分之三十發給拆遷處理費。</w:t>
      </w:r>
    </w:p>
    <w:p w:rsidR="0034768A" w:rsidRPr="0034768A" w:rsidRDefault="0034768A" w:rsidP="0034768A">
      <w:pPr>
        <w:spacing w:line="460" w:lineRule="exact"/>
        <w:ind w:leftChars="350" w:left="840" w:firstLineChars="250" w:firstLine="700"/>
        <w:jc w:val="both"/>
        <w:rPr>
          <w:rFonts w:ascii="標楷體" w:eastAsia="標楷體" w:hAnsi="標楷體"/>
          <w:sz w:val="28"/>
          <w:szCs w:val="28"/>
        </w:rPr>
      </w:pPr>
      <w:r w:rsidRPr="0034768A">
        <w:rPr>
          <w:rFonts w:ascii="標楷體" w:eastAsia="標楷體" w:hAnsi="標楷體" w:hint="eastAsia"/>
          <w:sz w:val="28"/>
          <w:szCs w:val="28"/>
        </w:rPr>
        <w:t>第三條各款建物以外之其他建物符合第六條規定者，其人口遷移費依該條規定金額百分之六十發給補助。</w:t>
      </w:r>
    </w:p>
    <w:p w:rsidR="0034768A" w:rsidRPr="0034768A" w:rsidRDefault="0034768A" w:rsidP="0034768A">
      <w:pPr>
        <w:kinsoku w:val="0"/>
        <w:overflowPunct w:val="0"/>
        <w:adjustRightInd w:val="0"/>
        <w:snapToGrid w:val="0"/>
        <w:spacing w:line="460" w:lineRule="exact"/>
        <w:ind w:left="1120" w:hangingChars="400" w:hanging="1120"/>
        <w:jc w:val="both"/>
        <w:rPr>
          <w:rFonts w:ascii="標楷體" w:eastAsia="標楷體" w:hAnsi="標楷體"/>
          <w:sz w:val="28"/>
          <w:szCs w:val="28"/>
        </w:rPr>
      </w:pPr>
      <w:r w:rsidRPr="0034768A">
        <w:rPr>
          <w:rFonts w:ascii="標楷體" w:eastAsia="標楷體" w:hAnsi="標楷體"/>
          <w:sz w:val="28"/>
          <w:szCs w:val="28"/>
        </w:rPr>
        <w:t>第</w:t>
      </w:r>
      <w:r w:rsidRPr="0034768A">
        <w:rPr>
          <w:rFonts w:ascii="標楷體" w:eastAsia="標楷體" w:hAnsi="標楷體" w:hint="eastAsia"/>
          <w:sz w:val="28"/>
          <w:szCs w:val="28"/>
        </w:rPr>
        <w:t>十一</w:t>
      </w:r>
      <w:r w:rsidRPr="0034768A">
        <w:rPr>
          <w:rFonts w:ascii="標楷體" w:eastAsia="標楷體" w:hAnsi="標楷體"/>
          <w:sz w:val="28"/>
          <w:szCs w:val="28"/>
        </w:rPr>
        <w:t>條</w:t>
      </w:r>
      <w:r w:rsidRPr="0034768A">
        <w:rPr>
          <w:rFonts w:ascii="標楷體" w:eastAsia="標楷體" w:hAnsi="標楷體" w:hint="eastAsia"/>
          <w:sz w:val="28"/>
          <w:szCs w:val="28"/>
        </w:rPr>
        <w:t xml:space="preserve">    未經合法設立登記之營利事業或工廠之動力機具或設備，不發給遷移費。但持有最近一期繳納營業稅據，並配合工程施工日前自動拆遷者，得依查估遷移費百分之六十發給處理費。</w:t>
      </w:r>
    </w:p>
    <w:p w:rsidR="0034768A" w:rsidRPr="0034768A" w:rsidRDefault="0034768A" w:rsidP="0034768A">
      <w:pPr>
        <w:tabs>
          <w:tab w:val="left" w:pos="1110"/>
        </w:tabs>
        <w:kinsoku w:val="0"/>
        <w:overflowPunct w:val="0"/>
        <w:adjustRightInd w:val="0"/>
        <w:snapToGrid w:val="0"/>
        <w:spacing w:line="460" w:lineRule="exact"/>
        <w:ind w:left="1120" w:hangingChars="400" w:hanging="1120"/>
        <w:jc w:val="both"/>
        <w:rPr>
          <w:rFonts w:ascii="標楷體" w:eastAsia="標楷體" w:hAnsi="標楷體"/>
          <w:sz w:val="28"/>
          <w:szCs w:val="28"/>
        </w:rPr>
      </w:pPr>
      <w:r w:rsidRPr="0034768A">
        <w:rPr>
          <w:rFonts w:ascii="標楷體" w:eastAsia="標楷體" w:hAnsi="標楷體"/>
          <w:sz w:val="28"/>
          <w:szCs w:val="28"/>
        </w:rPr>
        <w:t>第</w:t>
      </w:r>
      <w:r w:rsidRPr="0034768A">
        <w:rPr>
          <w:rFonts w:ascii="標楷體" w:eastAsia="標楷體" w:hAnsi="標楷體" w:hint="eastAsia"/>
          <w:sz w:val="28"/>
          <w:szCs w:val="28"/>
        </w:rPr>
        <w:t>十二</w:t>
      </w:r>
      <w:r w:rsidRPr="0034768A">
        <w:rPr>
          <w:rFonts w:ascii="標楷體" w:eastAsia="標楷體" w:hAnsi="標楷體"/>
          <w:sz w:val="28"/>
          <w:szCs w:val="28"/>
        </w:rPr>
        <w:t>條</w:t>
      </w:r>
      <w:r w:rsidRPr="0034768A">
        <w:rPr>
          <w:rFonts w:ascii="標楷體" w:eastAsia="標楷體" w:hAnsi="標楷體" w:hint="eastAsia"/>
          <w:sz w:val="28"/>
          <w:szCs w:val="28"/>
        </w:rPr>
        <w:t xml:space="preserve">    未經合法設立登記之營利事業或工廠，不發給營業損失。但有營業事實且持有最近一期完繳營業稅據，並配合工程施工日前自動搬離營業物品者，得依土地及土地改良物徵收營業損失補償基準第六點規定金額百分之六十發給補助。</w:t>
      </w:r>
    </w:p>
    <w:p w:rsidR="0034768A" w:rsidRPr="0034768A" w:rsidRDefault="0034768A" w:rsidP="0034768A">
      <w:pPr>
        <w:adjustRightInd w:val="0"/>
        <w:snapToGrid w:val="0"/>
        <w:spacing w:line="460" w:lineRule="exact"/>
        <w:ind w:left="1120" w:hangingChars="400" w:hanging="1120"/>
        <w:jc w:val="both"/>
        <w:rPr>
          <w:rFonts w:ascii="標楷體" w:eastAsia="標楷體" w:hAnsi="標楷體"/>
          <w:sz w:val="28"/>
          <w:szCs w:val="28"/>
        </w:rPr>
      </w:pPr>
      <w:r w:rsidRPr="0034768A">
        <w:rPr>
          <w:rFonts w:ascii="標楷體" w:eastAsia="標楷體" w:hAnsi="標楷體"/>
          <w:sz w:val="28"/>
          <w:szCs w:val="28"/>
        </w:rPr>
        <w:t>第</w:t>
      </w:r>
      <w:r w:rsidRPr="0034768A">
        <w:rPr>
          <w:rFonts w:ascii="標楷體" w:eastAsia="標楷體" w:hAnsi="標楷體" w:hint="eastAsia"/>
          <w:sz w:val="28"/>
          <w:szCs w:val="28"/>
        </w:rPr>
        <w:t>十三</w:t>
      </w:r>
      <w:r w:rsidRPr="0034768A">
        <w:rPr>
          <w:rFonts w:ascii="標楷體" w:eastAsia="標楷體" w:hAnsi="標楷體"/>
          <w:sz w:val="28"/>
          <w:szCs w:val="28"/>
        </w:rPr>
        <w:t>條</w:t>
      </w:r>
      <w:r w:rsidRPr="0034768A">
        <w:rPr>
          <w:rFonts w:ascii="標楷體" w:eastAsia="標楷體" w:hAnsi="標楷體" w:hint="eastAsia"/>
          <w:sz w:val="28"/>
          <w:szCs w:val="28"/>
        </w:rPr>
        <w:t xml:space="preserve">    本自治條例申請發給自動拆遷獎勵金、違章建築拆遷處理費、機械搬遷費及營業損失等補助者，應檢附自動拆除後之照片、斷水、斷電及斷瓦斯之相關證明後，始得發給。</w:t>
      </w:r>
    </w:p>
    <w:p w:rsidR="0034768A" w:rsidRPr="0034768A" w:rsidRDefault="0034768A" w:rsidP="0034768A">
      <w:pPr>
        <w:adjustRightInd w:val="0"/>
        <w:snapToGrid w:val="0"/>
        <w:spacing w:line="460" w:lineRule="exact"/>
        <w:ind w:left="1120" w:hangingChars="400" w:hanging="1120"/>
        <w:jc w:val="both"/>
        <w:rPr>
          <w:rFonts w:ascii="標楷體" w:eastAsia="標楷體" w:hAnsi="標楷體"/>
          <w:sz w:val="28"/>
          <w:szCs w:val="28"/>
        </w:rPr>
      </w:pPr>
      <w:r w:rsidRPr="0034768A">
        <w:rPr>
          <w:rFonts w:ascii="標楷體" w:eastAsia="標楷體" w:hAnsi="標楷體"/>
          <w:sz w:val="28"/>
          <w:szCs w:val="28"/>
        </w:rPr>
        <w:t>第</w:t>
      </w:r>
      <w:r w:rsidRPr="0034768A">
        <w:rPr>
          <w:rFonts w:ascii="標楷體" w:eastAsia="標楷體" w:hAnsi="標楷體" w:hint="eastAsia"/>
          <w:sz w:val="28"/>
          <w:szCs w:val="28"/>
        </w:rPr>
        <w:t>十四</w:t>
      </w:r>
      <w:r w:rsidRPr="0034768A">
        <w:rPr>
          <w:rFonts w:ascii="標楷體" w:eastAsia="標楷體" w:hAnsi="標楷體"/>
          <w:sz w:val="28"/>
          <w:szCs w:val="28"/>
        </w:rPr>
        <w:t>條</w:t>
      </w:r>
      <w:r w:rsidRPr="0034768A">
        <w:rPr>
          <w:rFonts w:ascii="標楷體" w:eastAsia="標楷體" w:hAnsi="標楷體" w:hint="eastAsia"/>
          <w:sz w:val="28"/>
          <w:szCs w:val="28"/>
        </w:rPr>
        <w:t xml:space="preserve">    建物拆遷之查估，應俟道路中心樁測定及拆除線測定完成後，依徵收地籍分割圖及用地清冊，會同建物所有權人現場會勘，將建物及附帶設備等逐項記載於調查表並拍照粘貼，由建物所有人認可後簽名或篕章。</w:t>
      </w:r>
    </w:p>
    <w:p w:rsidR="0034768A" w:rsidRPr="0034768A" w:rsidRDefault="0034768A" w:rsidP="0034768A">
      <w:pPr>
        <w:adjustRightInd w:val="0"/>
        <w:snapToGrid w:val="0"/>
        <w:spacing w:line="460" w:lineRule="exact"/>
        <w:ind w:left="1120" w:hangingChars="400" w:hanging="1120"/>
        <w:jc w:val="both"/>
        <w:rPr>
          <w:rFonts w:ascii="標楷體" w:eastAsia="標楷體" w:hAnsi="標楷體"/>
          <w:sz w:val="28"/>
          <w:szCs w:val="28"/>
        </w:rPr>
      </w:pPr>
      <w:r w:rsidRPr="0034768A">
        <w:rPr>
          <w:rFonts w:ascii="標楷體" w:eastAsia="標楷體" w:hAnsi="標楷體"/>
          <w:sz w:val="28"/>
          <w:szCs w:val="28"/>
        </w:rPr>
        <w:t>第</w:t>
      </w:r>
      <w:r w:rsidRPr="0034768A">
        <w:rPr>
          <w:rFonts w:ascii="標楷體" w:eastAsia="標楷體" w:hAnsi="標楷體" w:hint="eastAsia"/>
          <w:sz w:val="28"/>
          <w:szCs w:val="28"/>
        </w:rPr>
        <w:t>十五</w:t>
      </w:r>
      <w:r w:rsidRPr="0034768A">
        <w:rPr>
          <w:rFonts w:ascii="標楷體" w:eastAsia="標楷體" w:hAnsi="標楷體"/>
          <w:sz w:val="28"/>
          <w:szCs w:val="28"/>
        </w:rPr>
        <w:t>條</w:t>
      </w:r>
      <w:r w:rsidRPr="0034768A">
        <w:rPr>
          <w:rFonts w:ascii="標楷體" w:eastAsia="標楷體" w:hAnsi="標楷體" w:hint="eastAsia"/>
          <w:sz w:val="28"/>
          <w:szCs w:val="28"/>
        </w:rPr>
        <w:t xml:space="preserve">    </w:t>
      </w:r>
      <w:r w:rsidRPr="0034768A">
        <w:rPr>
          <w:rFonts w:ascii="標楷體" w:eastAsia="標楷體" w:hAnsi="標楷體"/>
          <w:sz w:val="28"/>
          <w:szCs w:val="28"/>
        </w:rPr>
        <w:t>本自治條例所列補償項目，</w:t>
      </w:r>
      <w:r w:rsidRPr="0034768A">
        <w:rPr>
          <w:rFonts w:ascii="標楷體" w:eastAsia="標楷體" w:hAnsi="標楷體" w:hint="eastAsia"/>
          <w:sz w:val="28"/>
          <w:szCs w:val="28"/>
        </w:rPr>
        <w:t>其性質特殊，未能依本自治條例規定查估者</w:t>
      </w:r>
      <w:r w:rsidRPr="0034768A">
        <w:rPr>
          <w:rFonts w:ascii="標楷體" w:eastAsia="標楷體" w:hAnsi="標楷體"/>
          <w:sz w:val="28"/>
          <w:szCs w:val="28"/>
        </w:rPr>
        <w:t>，得委託專</w:t>
      </w:r>
      <w:r w:rsidRPr="0034768A">
        <w:rPr>
          <w:rFonts w:ascii="標楷體" w:eastAsia="標楷體" w:hAnsi="標楷體" w:hint="eastAsia"/>
          <w:sz w:val="28"/>
          <w:szCs w:val="28"/>
        </w:rPr>
        <w:t>業</w:t>
      </w:r>
      <w:r w:rsidRPr="0034768A">
        <w:rPr>
          <w:rFonts w:ascii="標楷體" w:eastAsia="標楷體" w:hAnsi="標楷體"/>
          <w:sz w:val="28"/>
          <w:szCs w:val="28"/>
        </w:rPr>
        <w:t>或學術單位查估。</w:t>
      </w:r>
    </w:p>
    <w:p w:rsidR="0034768A" w:rsidRPr="0034768A" w:rsidRDefault="0034768A" w:rsidP="0034768A">
      <w:pPr>
        <w:adjustRightInd w:val="0"/>
        <w:snapToGrid w:val="0"/>
        <w:spacing w:line="460" w:lineRule="exact"/>
        <w:ind w:left="1120" w:hangingChars="400" w:hanging="1120"/>
        <w:jc w:val="both"/>
        <w:rPr>
          <w:rFonts w:ascii="標楷體" w:eastAsia="標楷體" w:hAnsi="標楷體"/>
          <w:sz w:val="28"/>
          <w:szCs w:val="28"/>
        </w:rPr>
      </w:pPr>
      <w:r w:rsidRPr="0034768A">
        <w:rPr>
          <w:rFonts w:ascii="標楷體" w:eastAsia="標楷體" w:hAnsi="標楷體"/>
          <w:sz w:val="28"/>
          <w:szCs w:val="28"/>
        </w:rPr>
        <w:t>第</w:t>
      </w:r>
      <w:r w:rsidRPr="0034768A">
        <w:rPr>
          <w:rFonts w:ascii="標楷體" w:eastAsia="標楷體" w:hAnsi="標楷體" w:hint="eastAsia"/>
          <w:sz w:val="28"/>
          <w:szCs w:val="28"/>
        </w:rPr>
        <w:t>十六</w:t>
      </w:r>
      <w:r w:rsidRPr="0034768A">
        <w:rPr>
          <w:rFonts w:ascii="標楷體" w:eastAsia="標楷體" w:hAnsi="標楷體"/>
          <w:sz w:val="28"/>
          <w:szCs w:val="28"/>
        </w:rPr>
        <w:t>條</w:t>
      </w:r>
      <w:r w:rsidRPr="0034768A">
        <w:rPr>
          <w:rFonts w:ascii="標楷體" w:eastAsia="標楷體" w:hAnsi="標楷體" w:hint="eastAsia"/>
          <w:sz w:val="28"/>
          <w:szCs w:val="28"/>
        </w:rPr>
        <w:t xml:space="preserve">    所有權人對於查估內容或估價有異議時，建設局或工程主辦機關應會同有關機關複查。</w:t>
      </w:r>
    </w:p>
    <w:p w:rsidR="0034768A" w:rsidRPr="0034768A" w:rsidRDefault="0034768A" w:rsidP="0034768A">
      <w:pPr>
        <w:tabs>
          <w:tab w:val="left" w:pos="1110"/>
        </w:tabs>
        <w:kinsoku w:val="0"/>
        <w:overflowPunct w:val="0"/>
        <w:adjustRightInd w:val="0"/>
        <w:snapToGrid w:val="0"/>
        <w:spacing w:line="460" w:lineRule="exact"/>
        <w:ind w:left="840" w:hangingChars="300" w:hanging="840"/>
        <w:jc w:val="both"/>
        <w:rPr>
          <w:rFonts w:ascii="標楷體" w:eastAsia="標楷體" w:hAnsi="標楷體"/>
          <w:sz w:val="28"/>
          <w:szCs w:val="28"/>
        </w:rPr>
      </w:pPr>
      <w:r w:rsidRPr="0034768A">
        <w:rPr>
          <w:rFonts w:ascii="標楷體" w:eastAsia="標楷體" w:hAnsi="標楷體"/>
          <w:sz w:val="28"/>
          <w:szCs w:val="28"/>
        </w:rPr>
        <w:t>第</w:t>
      </w:r>
      <w:r w:rsidRPr="0034768A">
        <w:rPr>
          <w:rFonts w:ascii="標楷體" w:eastAsia="標楷體" w:hAnsi="標楷體" w:hint="eastAsia"/>
          <w:sz w:val="28"/>
          <w:szCs w:val="28"/>
        </w:rPr>
        <w:t>十六</w:t>
      </w:r>
      <w:r w:rsidRPr="0034768A">
        <w:rPr>
          <w:rFonts w:ascii="標楷體" w:eastAsia="標楷體" w:hAnsi="標楷體"/>
          <w:sz w:val="28"/>
          <w:szCs w:val="28"/>
        </w:rPr>
        <w:t>條</w:t>
      </w:r>
      <w:r w:rsidRPr="0034768A">
        <w:rPr>
          <w:rFonts w:ascii="標楷體" w:eastAsia="標楷體" w:hAnsi="標楷體" w:hint="eastAsia"/>
          <w:sz w:val="28"/>
          <w:szCs w:val="28"/>
        </w:rPr>
        <w:t>之一    因辦理公共工程須拆遷第三條之建物，經臺中市政府公告指定或登錄為文化資產並配合保存者，於臺中市政府文化資產主管機關接管後，得比照本自治條例第四條、第九條及第十條規</w:t>
      </w:r>
      <w:r w:rsidRPr="0034768A">
        <w:rPr>
          <w:rFonts w:ascii="標楷體" w:eastAsia="標楷體" w:hAnsi="標楷體" w:hint="eastAsia"/>
          <w:sz w:val="28"/>
          <w:szCs w:val="28"/>
        </w:rPr>
        <w:lastRenderedPageBreak/>
        <w:t>定標準發給損失補償費及保存獎勵金。</w:t>
      </w:r>
    </w:p>
    <w:p w:rsidR="0034768A" w:rsidRPr="0034768A" w:rsidRDefault="0034768A" w:rsidP="0034768A">
      <w:pPr>
        <w:kinsoku w:val="0"/>
        <w:overflowPunct w:val="0"/>
        <w:adjustRightInd w:val="0"/>
        <w:snapToGrid w:val="0"/>
        <w:spacing w:line="460" w:lineRule="exact"/>
        <w:ind w:leftChars="354" w:left="850" w:firstLineChars="252" w:firstLine="706"/>
        <w:jc w:val="both"/>
        <w:rPr>
          <w:rFonts w:ascii="標楷體" w:eastAsia="標楷體" w:hAnsi="標楷體"/>
          <w:sz w:val="28"/>
          <w:szCs w:val="28"/>
        </w:rPr>
      </w:pPr>
      <w:r w:rsidRPr="0034768A">
        <w:rPr>
          <w:rFonts w:ascii="標楷體" w:eastAsia="標楷體" w:hAnsi="標楷體" w:hint="eastAsia"/>
          <w:sz w:val="28"/>
          <w:szCs w:val="28"/>
        </w:rPr>
        <w:t>前項保存獎勵金計算方式同自動拆遷獎勵金計算方式。</w:t>
      </w:r>
    </w:p>
    <w:p w:rsidR="0034768A" w:rsidRPr="0034768A" w:rsidRDefault="0034768A" w:rsidP="0034768A">
      <w:pPr>
        <w:adjustRightInd w:val="0"/>
        <w:snapToGrid w:val="0"/>
        <w:spacing w:line="460" w:lineRule="exact"/>
        <w:ind w:left="840" w:hangingChars="300" w:hanging="840"/>
        <w:rPr>
          <w:rFonts w:ascii="標楷體" w:eastAsia="標楷體" w:hAnsi="標楷體"/>
          <w:sz w:val="28"/>
          <w:szCs w:val="28"/>
        </w:rPr>
      </w:pPr>
      <w:r w:rsidRPr="0034768A">
        <w:rPr>
          <w:rFonts w:ascii="標楷體" w:eastAsia="標楷體" w:hAnsi="標楷體"/>
          <w:sz w:val="28"/>
          <w:szCs w:val="28"/>
        </w:rPr>
        <w:t>第</w:t>
      </w:r>
      <w:r w:rsidRPr="0034768A">
        <w:rPr>
          <w:rFonts w:ascii="標楷體" w:eastAsia="標楷體" w:hAnsi="標楷體" w:hint="eastAsia"/>
          <w:sz w:val="28"/>
          <w:szCs w:val="28"/>
        </w:rPr>
        <w:t>十七</w:t>
      </w:r>
      <w:r w:rsidRPr="0034768A">
        <w:rPr>
          <w:rFonts w:ascii="標楷體" w:eastAsia="標楷體" w:hAnsi="標楷體"/>
          <w:sz w:val="28"/>
          <w:szCs w:val="28"/>
        </w:rPr>
        <w:t>條</w:t>
      </w:r>
      <w:r w:rsidRPr="0034768A">
        <w:rPr>
          <w:rFonts w:ascii="標楷體" w:eastAsia="標楷體" w:hAnsi="標楷體" w:hint="eastAsia"/>
          <w:sz w:val="28"/>
          <w:szCs w:val="28"/>
        </w:rPr>
        <w:t xml:space="preserve">    本自治條例所需書表格式，由建設局另定之。</w:t>
      </w:r>
    </w:p>
    <w:p w:rsidR="0034768A" w:rsidRPr="0034768A" w:rsidRDefault="0034768A" w:rsidP="0034768A">
      <w:pPr>
        <w:adjustRightInd w:val="0"/>
        <w:snapToGrid w:val="0"/>
        <w:spacing w:line="460" w:lineRule="exact"/>
        <w:ind w:left="840" w:hangingChars="300" w:hanging="840"/>
        <w:rPr>
          <w:rFonts w:ascii="標楷體" w:eastAsia="標楷體" w:hAnsi="標楷體"/>
          <w:sz w:val="28"/>
          <w:szCs w:val="28"/>
        </w:rPr>
      </w:pPr>
      <w:r w:rsidRPr="0034768A">
        <w:rPr>
          <w:rFonts w:ascii="標楷體" w:eastAsia="標楷體" w:hAnsi="標楷體"/>
          <w:sz w:val="28"/>
          <w:szCs w:val="28"/>
        </w:rPr>
        <w:t>第</w:t>
      </w:r>
      <w:r w:rsidRPr="0034768A">
        <w:rPr>
          <w:rFonts w:ascii="標楷體" w:eastAsia="標楷體" w:hAnsi="標楷體" w:hint="eastAsia"/>
          <w:sz w:val="28"/>
          <w:szCs w:val="28"/>
        </w:rPr>
        <w:t>十八</w:t>
      </w:r>
      <w:r w:rsidRPr="0034768A">
        <w:rPr>
          <w:rFonts w:ascii="標楷體" w:eastAsia="標楷體" w:hAnsi="標楷體"/>
          <w:sz w:val="28"/>
          <w:szCs w:val="28"/>
        </w:rPr>
        <w:t>條</w:t>
      </w:r>
      <w:r w:rsidRPr="0034768A">
        <w:rPr>
          <w:rFonts w:ascii="標楷體" w:eastAsia="標楷體" w:hAnsi="標楷體" w:hint="eastAsia"/>
          <w:sz w:val="28"/>
          <w:szCs w:val="28"/>
        </w:rPr>
        <w:t xml:space="preserve">    </w:t>
      </w:r>
      <w:r w:rsidRPr="0034768A">
        <w:rPr>
          <w:rFonts w:ascii="標楷體" w:eastAsia="標楷體" w:hAnsi="標楷體"/>
          <w:sz w:val="28"/>
          <w:szCs w:val="28"/>
        </w:rPr>
        <w:t>本自治條例自</w:t>
      </w:r>
      <w:r w:rsidRPr="0034768A">
        <w:rPr>
          <w:rFonts w:ascii="標楷體" w:eastAsia="標楷體" w:hAnsi="標楷體" w:hint="eastAsia"/>
          <w:sz w:val="28"/>
          <w:szCs w:val="28"/>
        </w:rPr>
        <w:t>公布日</w:t>
      </w:r>
      <w:r w:rsidRPr="0034768A">
        <w:rPr>
          <w:rFonts w:ascii="標楷體" w:eastAsia="標楷體" w:hAnsi="標楷體"/>
          <w:sz w:val="28"/>
          <w:szCs w:val="28"/>
        </w:rPr>
        <w:t>施行。</w:t>
      </w:r>
    </w:p>
    <w:p w:rsidR="0034768A" w:rsidRPr="0034768A" w:rsidRDefault="0034768A" w:rsidP="005008A2">
      <w:pPr>
        <w:rPr>
          <w:rFonts w:ascii="標楷體" w:eastAsia="標楷體" w:hAnsi="標楷體"/>
          <w:sz w:val="40"/>
          <w:szCs w:val="40"/>
        </w:rPr>
      </w:pPr>
    </w:p>
    <w:sectPr w:rsidR="0034768A" w:rsidRPr="0034768A" w:rsidSect="003E5D91">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550" w:rsidRPr="000A7D18" w:rsidRDefault="00E43550" w:rsidP="00D97C20">
      <w:pPr>
        <w:rPr>
          <w:szCs w:val="24"/>
        </w:rPr>
      </w:pPr>
      <w:r>
        <w:separator/>
      </w:r>
    </w:p>
  </w:endnote>
  <w:endnote w:type="continuationSeparator" w:id="0">
    <w:p w:rsidR="00E43550" w:rsidRPr="000A7D18" w:rsidRDefault="00E43550" w:rsidP="00D97C20">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charset w:val="00"/>
    <w:family w:val="modern"/>
    <w:pitch w:val="fixed"/>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550" w:rsidRPr="000A7D18" w:rsidRDefault="00E43550" w:rsidP="00D97C20">
      <w:pPr>
        <w:rPr>
          <w:szCs w:val="24"/>
        </w:rPr>
      </w:pPr>
      <w:r>
        <w:separator/>
      </w:r>
    </w:p>
  </w:footnote>
  <w:footnote w:type="continuationSeparator" w:id="0">
    <w:p w:rsidR="00E43550" w:rsidRPr="000A7D18" w:rsidRDefault="00E43550" w:rsidP="00D97C20">
      <w:pPr>
        <w:rPr>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F37277"/>
    <w:multiLevelType w:val="hybridMultilevel"/>
    <w:tmpl w:val="1D8867C2"/>
    <w:lvl w:ilvl="0" w:tplc="7A188EF0">
      <w:start w:val="1"/>
      <w:numFmt w:val="taiwaneseCountingThousand"/>
      <w:lvlText w:val="%1、"/>
      <w:lvlJc w:val="left"/>
      <w:pPr>
        <w:ind w:left="811" w:hanging="500"/>
      </w:pPr>
      <w:rPr>
        <w:rFonts w:hint="default"/>
      </w:rPr>
    </w:lvl>
    <w:lvl w:ilvl="1" w:tplc="04090019" w:tentative="1">
      <w:start w:val="1"/>
      <w:numFmt w:val="ideographTraditional"/>
      <w:lvlText w:val="%2、"/>
      <w:lvlJc w:val="left"/>
      <w:pPr>
        <w:ind w:left="1271" w:hanging="480"/>
      </w:pPr>
    </w:lvl>
    <w:lvl w:ilvl="2" w:tplc="0409001B" w:tentative="1">
      <w:start w:val="1"/>
      <w:numFmt w:val="lowerRoman"/>
      <w:lvlText w:val="%3."/>
      <w:lvlJc w:val="right"/>
      <w:pPr>
        <w:ind w:left="1751" w:hanging="480"/>
      </w:pPr>
    </w:lvl>
    <w:lvl w:ilvl="3" w:tplc="0409000F" w:tentative="1">
      <w:start w:val="1"/>
      <w:numFmt w:val="decimal"/>
      <w:lvlText w:val="%4."/>
      <w:lvlJc w:val="left"/>
      <w:pPr>
        <w:ind w:left="2231" w:hanging="480"/>
      </w:pPr>
    </w:lvl>
    <w:lvl w:ilvl="4" w:tplc="04090019" w:tentative="1">
      <w:start w:val="1"/>
      <w:numFmt w:val="ideographTraditional"/>
      <w:lvlText w:val="%5、"/>
      <w:lvlJc w:val="left"/>
      <w:pPr>
        <w:ind w:left="2711" w:hanging="480"/>
      </w:pPr>
    </w:lvl>
    <w:lvl w:ilvl="5" w:tplc="0409001B" w:tentative="1">
      <w:start w:val="1"/>
      <w:numFmt w:val="lowerRoman"/>
      <w:lvlText w:val="%6."/>
      <w:lvlJc w:val="right"/>
      <w:pPr>
        <w:ind w:left="3191" w:hanging="480"/>
      </w:pPr>
    </w:lvl>
    <w:lvl w:ilvl="6" w:tplc="0409000F" w:tentative="1">
      <w:start w:val="1"/>
      <w:numFmt w:val="decimal"/>
      <w:lvlText w:val="%7."/>
      <w:lvlJc w:val="left"/>
      <w:pPr>
        <w:ind w:left="3671" w:hanging="480"/>
      </w:pPr>
    </w:lvl>
    <w:lvl w:ilvl="7" w:tplc="04090019" w:tentative="1">
      <w:start w:val="1"/>
      <w:numFmt w:val="ideographTraditional"/>
      <w:lvlText w:val="%8、"/>
      <w:lvlJc w:val="left"/>
      <w:pPr>
        <w:ind w:left="4151" w:hanging="480"/>
      </w:pPr>
    </w:lvl>
    <w:lvl w:ilvl="8" w:tplc="0409001B" w:tentative="1">
      <w:start w:val="1"/>
      <w:numFmt w:val="lowerRoman"/>
      <w:lvlText w:val="%9."/>
      <w:lvlJc w:val="right"/>
      <w:pPr>
        <w:ind w:left="463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EE"/>
    <w:rsid w:val="000064D5"/>
    <w:rsid w:val="000166AE"/>
    <w:rsid w:val="000411B7"/>
    <w:rsid w:val="000E667A"/>
    <w:rsid w:val="000F241D"/>
    <w:rsid w:val="00143575"/>
    <w:rsid w:val="0014703A"/>
    <w:rsid w:val="00183EC4"/>
    <w:rsid w:val="00184F64"/>
    <w:rsid w:val="001B3DFB"/>
    <w:rsid w:val="001B62EC"/>
    <w:rsid w:val="001D0627"/>
    <w:rsid w:val="001D4571"/>
    <w:rsid w:val="001E66DA"/>
    <w:rsid w:val="002150D8"/>
    <w:rsid w:val="00253C2F"/>
    <w:rsid w:val="00283928"/>
    <w:rsid w:val="002C518C"/>
    <w:rsid w:val="002D56D6"/>
    <w:rsid w:val="002E6856"/>
    <w:rsid w:val="002E6C99"/>
    <w:rsid w:val="00303169"/>
    <w:rsid w:val="00337F29"/>
    <w:rsid w:val="00346300"/>
    <w:rsid w:val="0034768A"/>
    <w:rsid w:val="0035271F"/>
    <w:rsid w:val="00362622"/>
    <w:rsid w:val="00367D3B"/>
    <w:rsid w:val="00370B0B"/>
    <w:rsid w:val="003D41F8"/>
    <w:rsid w:val="003E5D91"/>
    <w:rsid w:val="003F2463"/>
    <w:rsid w:val="00465EF9"/>
    <w:rsid w:val="004901D9"/>
    <w:rsid w:val="004C46C3"/>
    <w:rsid w:val="004C798B"/>
    <w:rsid w:val="004D4035"/>
    <w:rsid w:val="004D616A"/>
    <w:rsid w:val="005008A2"/>
    <w:rsid w:val="005033D0"/>
    <w:rsid w:val="00517E26"/>
    <w:rsid w:val="00550272"/>
    <w:rsid w:val="005612A7"/>
    <w:rsid w:val="005A1ED5"/>
    <w:rsid w:val="005B0D75"/>
    <w:rsid w:val="005E2184"/>
    <w:rsid w:val="0064016A"/>
    <w:rsid w:val="006559D2"/>
    <w:rsid w:val="00692262"/>
    <w:rsid w:val="006B4AF8"/>
    <w:rsid w:val="006B5C0D"/>
    <w:rsid w:val="006D72FC"/>
    <w:rsid w:val="006F2C2F"/>
    <w:rsid w:val="00713518"/>
    <w:rsid w:val="00736B60"/>
    <w:rsid w:val="00762632"/>
    <w:rsid w:val="0077444A"/>
    <w:rsid w:val="0077710D"/>
    <w:rsid w:val="00780216"/>
    <w:rsid w:val="007869E5"/>
    <w:rsid w:val="00791F78"/>
    <w:rsid w:val="007A598D"/>
    <w:rsid w:val="007B11C0"/>
    <w:rsid w:val="007E7A7A"/>
    <w:rsid w:val="007F6F68"/>
    <w:rsid w:val="0081246E"/>
    <w:rsid w:val="00815454"/>
    <w:rsid w:val="008325A2"/>
    <w:rsid w:val="00843C94"/>
    <w:rsid w:val="008546BF"/>
    <w:rsid w:val="00865303"/>
    <w:rsid w:val="008D445D"/>
    <w:rsid w:val="008E1844"/>
    <w:rsid w:val="00906859"/>
    <w:rsid w:val="009742BA"/>
    <w:rsid w:val="009A2DEE"/>
    <w:rsid w:val="009C1A8A"/>
    <w:rsid w:val="009D2F18"/>
    <w:rsid w:val="009D5BAD"/>
    <w:rsid w:val="009E2DCD"/>
    <w:rsid w:val="00A15F86"/>
    <w:rsid w:val="00A76D0E"/>
    <w:rsid w:val="00A93162"/>
    <w:rsid w:val="00B23C96"/>
    <w:rsid w:val="00B43E1B"/>
    <w:rsid w:val="00B778D5"/>
    <w:rsid w:val="00BA663E"/>
    <w:rsid w:val="00BC09A7"/>
    <w:rsid w:val="00BC143B"/>
    <w:rsid w:val="00BF49DD"/>
    <w:rsid w:val="00C56438"/>
    <w:rsid w:val="00C637A0"/>
    <w:rsid w:val="00CE1287"/>
    <w:rsid w:val="00D665A3"/>
    <w:rsid w:val="00D76B1C"/>
    <w:rsid w:val="00D85BE2"/>
    <w:rsid w:val="00D92911"/>
    <w:rsid w:val="00D97C20"/>
    <w:rsid w:val="00DC0474"/>
    <w:rsid w:val="00E43550"/>
    <w:rsid w:val="00E449B6"/>
    <w:rsid w:val="00E5263A"/>
    <w:rsid w:val="00EB2045"/>
    <w:rsid w:val="00FC25BC"/>
    <w:rsid w:val="00FD081E"/>
    <w:rsid w:val="00FE1919"/>
    <w:rsid w:val="00FE59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9C3D98-F798-4A5A-8F08-63415160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DE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A2DEE"/>
    <w:pPr>
      <w:spacing w:after="120"/>
    </w:pPr>
    <w:rPr>
      <w:rFonts w:ascii="Times New Roman" w:hAnsi="Times New Roman"/>
      <w:szCs w:val="24"/>
    </w:rPr>
  </w:style>
  <w:style w:type="character" w:customStyle="1" w:styleId="a4">
    <w:name w:val="本文 字元"/>
    <w:basedOn w:val="a0"/>
    <w:link w:val="a3"/>
    <w:rsid w:val="009A2DEE"/>
    <w:rPr>
      <w:rFonts w:ascii="Times New Roman" w:eastAsia="新細明體" w:hAnsi="Times New Roman" w:cs="Times New Roman"/>
      <w:szCs w:val="24"/>
    </w:rPr>
  </w:style>
  <w:style w:type="paragraph" w:customStyle="1" w:styleId="a5">
    <w:name w:val="表名"/>
    <w:link w:val="a6"/>
    <w:qFormat/>
    <w:rsid w:val="009A2DEE"/>
    <w:pPr>
      <w:snapToGrid w:val="0"/>
      <w:spacing w:beforeLines="100" w:afterLines="15"/>
      <w:ind w:left="900" w:hangingChars="375" w:hanging="900"/>
    </w:pPr>
    <w:rPr>
      <w:rFonts w:ascii="Times New Roman" w:eastAsia="華康中黑體" w:hAnsi="Times New Roman" w:cs="Times New Roman"/>
      <w:szCs w:val="24"/>
    </w:rPr>
  </w:style>
  <w:style w:type="character" w:customStyle="1" w:styleId="a6">
    <w:name w:val="表名 字元"/>
    <w:basedOn w:val="a0"/>
    <w:link w:val="a5"/>
    <w:rsid w:val="009A2DEE"/>
    <w:rPr>
      <w:rFonts w:ascii="Times New Roman" w:eastAsia="華康中黑體" w:hAnsi="Times New Roman" w:cs="Times New Roman"/>
      <w:szCs w:val="24"/>
    </w:rPr>
  </w:style>
  <w:style w:type="paragraph" w:customStyle="1" w:styleId="a7">
    <w:name w:val="一內文"/>
    <w:basedOn w:val="a"/>
    <w:rsid w:val="009A2DEE"/>
    <w:pPr>
      <w:ind w:leftChars="192" w:left="461" w:firstLineChars="203" w:firstLine="487"/>
    </w:pPr>
    <w:rPr>
      <w:rFonts w:ascii="標楷體" w:eastAsia="標楷體" w:hAnsi="標楷體"/>
      <w:szCs w:val="24"/>
    </w:rPr>
  </w:style>
  <w:style w:type="paragraph" w:customStyle="1" w:styleId="4">
    <w:name w:val="標題4"/>
    <w:link w:val="40"/>
    <w:qFormat/>
    <w:rsid w:val="00346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標楷體" w:eastAsia="標楷體" w:hAnsi="標楷體" w:cs="細明體"/>
      <w:kern w:val="0"/>
      <w:szCs w:val="24"/>
    </w:rPr>
  </w:style>
  <w:style w:type="character" w:customStyle="1" w:styleId="40">
    <w:name w:val="標題4 字元"/>
    <w:basedOn w:val="a0"/>
    <w:link w:val="4"/>
    <w:rsid w:val="00346300"/>
    <w:rPr>
      <w:rFonts w:ascii="標楷體" w:eastAsia="標楷體" w:hAnsi="標楷體" w:cs="細明體"/>
      <w:kern w:val="0"/>
      <w:szCs w:val="24"/>
    </w:rPr>
  </w:style>
  <w:style w:type="paragraph" w:styleId="a8">
    <w:name w:val="header"/>
    <w:basedOn w:val="a"/>
    <w:link w:val="a9"/>
    <w:uiPriority w:val="99"/>
    <w:unhideWhenUsed/>
    <w:rsid w:val="00D97C20"/>
    <w:pPr>
      <w:tabs>
        <w:tab w:val="center" w:pos="4153"/>
        <w:tab w:val="right" w:pos="8306"/>
      </w:tabs>
      <w:snapToGrid w:val="0"/>
    </w:pPr>
    <w:rPr>
      <w:sz w:val="20"/>
      <w:szCs w:val="20"/>
    </w:rPr>
  </w:style>
  <w:style w:type="character" w:customStyle="1" w:styleId="a9">
    <w:name w:val="頁首 字元"/>
    <w:basedOn w:val="a0"/>
    <w:link w:val="a8"/>
    <w:uiPriority w:val="99"/>
    <w:rsid w:val="00D97C20"/>
    <w:rPr>
      <w:rFonts w:ascii="Calibri" w:eastAsia="新細明體" w:hAnsi="Calibri" w:cs="Times New Roman"/>
      <w:sz w:val="20"/>
      <w:szCs w:val="20"/>
    </w:rPr>
  </w:style>
  <w:style w:type="paragraph" w:styleId="aa">
    <w:name w:val="footer"/>
    <w:basedOn w:val="a"/>
    <w:link w:val="ab"/>
    <w:uiPriority w:val="99"/>
    <w:unhideWhenUsed/>
    <w:rsid w:val="00D97C20"/>
    <w:pPr>
      <w:tabs>
        <w:tab w:val="center" w:pos="4153"/>
        <w:tab w:val="right" w:pos="8306"/>
      </w:tabs>
      <w:snapToGrid w:val="0"/>
    </w:pPr>
    <w:rPr>
      <w:sz w:val="20"/>
      <w:szCs w:val="20"/>
    </w:rPr>
  </w:style>
  <w:style w:type="character" w:customStyle="1" w:styleId="ab">
    <w:name w:val="頁尾 字元"/>
    <w:basedOn w:val="a0"/>
    <w:link w:val="aa"/>
    <w:uiPriority w:val="99"/>
    <w:rsid w:val="00D97C20"/>
    <w:rPr>
      <w:rFonts w:ascii="Calibri" w:eastAsia="新細明體" w:hAnsi="Calibri" w:cs="Times New Roman"/>
      <w:sz w:val="20"/>
      <w:szCs w:val="20"/>
    </w:rPr>
  </w:style>
  <w:style w:type="paragraph" w:styleId="ac">
    <w:name w:val="Balloon Text"/>
    <w:basedOn w:val="a"/>
    <w:link w:val="ad"/>
    <w:uiPriority w:val="99"/>
    <w:semiHidden/>
    <w:unhideWhenUsed/>
    <w:rsid w:val="001E66D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E66DA"/>
    <w:rPr>
      <w:rFonts w:asciiTheme="majorHAnsi" w:eastAsiaTheme="majorEastAsia" w:hAnsiTheme="majorHAnsi" w:cstheme="majorBidi"/>
      <w:sz w:val="18"/>
      <w:szCs w:val="18"/>
    </w:rPr>
  </w:style>
  <w:style w:type="paragraph" w:customStyle="1" w:styleId="ae">
    <w:name w:val="章"/>
    <w:basedOn w:val="a"/>
    <w:rsid w:val="003E5D91"/>
    <w:pPr>
      <w:spacing w:before="120" w:after="120" w:line="240" w:lineRule="atLeast"/>
    </w:pPr>
    <w:rPr>
      <w:rFonts w:ascii="標楷體" w:eastAsia="標楷體" w:hAnsi="標楷體"/>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10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80235168\AppData\Roaming\Microsoft\Templates\NormalEmai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07A20-F036-4181-B522-CDD6735E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NormalEmail</Template>
  <TotalTime>0</TotalTime>
  <Pages>5</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mueh</dc:creator>
  <cp:lastModifiedBy>賴靖怡</cp:lastModifiedBy>
  <cp:revision>1</cp:revision>
  <cp:lastPrinted>2018-07-23T10:52:00Z</cp:lastPrinted>
  <dcterms:created xsi:type="dcterms:W3CDTF">2019-11-15T08:54:00Z</dcterms:created>
  <dcterms:modified xsi:type="dcterms:W3CDTF">2019-11-20T08:56:00Z</dcterms:modified>
</cp:coreProperties>
</file>