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B507" w14:textId="77777777" w:rsidR="001E7031" w:rsidRDefault="00A936E5">
      <w:bookmarkStart w:id="0" w:name="_GoBack"/>
      <w:bookmarkEnd w:id="0"/>
      <w:proofErr w:type="gramStart"/>
      <w:r>
        <w:rPr>
          <w:rFonts w:eastAsia="標楷體"/>
          <w:spacing w:val="-20"/>
          <w:sz w:val="40"/>
          <w:szCs w:val="40"/>
        </w:rPr>
        <w:t>臺</w:t>
      </w:r>
      <w:proofErr w:type="gramEnd"/>
      <w:r>
        <w:rPr>
          <w:rFonts w:eastAsia="標楷體"/>
          <w:spacing w:val="-20"/>
          <w:sz w:val="40"/>
          <w:szCs w:val="40"/>
        </w:rPr>
        <w:t>中市政府建設局及所屬機關性</w:t>
      </w:r>
      <w:r>
        <w:rPr>
          <w:rFonts w:ascii="標楷體" w:eastAsia="標楷體" w:hAnsi="標楷體"/>
          <w:spacing w:val="-20"/>
          <w:sz w:val="40"/>
          <w:szCs w:val="40"/>
        </w:rPr>
        <w:t>別平等專案小組作業要點</w:t>
      </w:r>
    </w:p>
    <w:p w14:paraId="66DEBBAF" w14:textId="77777777" w:rsidR="001E7031" w:rsidRDefault="00A936E5">
      <w:pPr>
        <w:jc w:val="right"/>
      </w:pPr>
      <w:r>
        <w:rPr>
          <w:rFonts w:ascii="標楷體" w:eastAsia="標楷體" w:hAnsi="標楷體"/>
          <w:sz w:val="20"/>
          <w:szCs w:val="16"/>
        </w:rPr>
        <w:t>中華民國</w:t>
      </w:r>
      <w:r>
        <w:rPr>
          <w:rFonts w:ascii="標楷體" w:eastAsia="標楷體" w:hAnsi="標楷體"/>
          <w:sz w:val="20"/>
          <w:szCs w:val="16"/>
        </w:rPr>
        <w:t>110</w:t>
      </w:r>
      <w:r>
        <w:rPr>
          <w:rFonts w:ascii="標楷體" w:eastAsia="標楷體" w:hAnsi="標楷體"/>
          <w:sz w:val="20"/>
          <w:szCs w:val="16"/>
        </w:rPr>
        <w:t>年</w:t>
      </w:r>
      <w:r>
        <w:rPr>
          <w:rFonts w:ascii="標楷體" w:eastAsia="標楷體" w:hAnsi="標楷體"/>
          <w:sz w:val="20"/>
          <w:szCs w:val="16"/>
        </w:rPr>
        <w:t>7</w:t>
      </w:r>
      <w:r>
        <w:rPr>
          <w:rFonts w:ascii="標楷體" w:eastAsia="標楷體" w:hAnsi="標楷體"/>
          <w:sz w:val="20"/>
          <w:szCs w:val="16"/>
        </w:rPr>
        <w:t>月</w:t>
      </w:r>
      <w:r>
        <w:rPr>
          <w:rFonts w:ascii="標楷體" w:eastAsia="標楷體" w:hAnsi="標楷體"/>
          <w:sz w:val="20"/>
          <w:szCs w:val="16"/>
        </w:rPr>
        <w:t>20</w:t>
      </w:r>
      <w:r>
        <w:rPr>
          <w:rFonts w:ascii="標楷體" w:eastAsia="標楷體" w:hAnsi="標楷體"/>
          <w:sz w:val="20"/>
          <w:szCs w:val="16"/>
        </w:rPr>
        <w:t>日中市建人字</w:t>
      </w:r>
      <w:proofErr w:type="gramStart"/>
      <w:r>
        <w:rPr>
          <w:rFonts w:ascii="標楷體" w:eastAsia="標楷體" w:hAnsi="標楷體"/>
          <w:sz w:val="20"/>
          <w:szCs w:val="16"/>
        </w:rPr>
        <w:t>第</w:t>
      </w:r>
      <w:r>
        <w:rPr>
          <w:rFonts w:ascii="標楷體" w:eastAsia="標楷體" w:hAnsi="標楷體"/>
          <w:sz w:val="20"/>
          <w:szCs w:val="16"/>
        </w:rPr>
        <w:t>1100024814</w:t>
      </w:r>
      <w:r>
        <w:rPr>
          <w:rFonts w:ascii="標楷體" w:eastAsia="標楷體" w:hAnsi="標楷體"/>
          <w:sz w:val="20"/>
          <w:szCs w:val="16"/>
        </w:rPr>
        <w:t>號函訂定</w:t>
      </w:r>
      <w:proofErr w:type="gramEnd"/>
    </w:p>
    <w:p w14:paraId="09D3293B" w14:textId="77777777" w:rsidR="001E7031" w:rsidRDefault="00A936E5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中市政府建設局及所屬機關（以下簡稱本局及所屬機關）為推動性別工作平等業務，營造無性別歧視之環境，特設置性別平等專案小組（以下簡稱本小組），並訂定本要點。</w:t>
      </w:r>
    </w:p>
    <w:p w14:paraId="04E16B31" w14:textId="77777777" w:rsidR="001E7031" w:rsidRDefault="00A936E5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本小組之任務如下：</w:t>
      </w:r>
    </w:p>
    <w:p w14:paraId="56D9F776" w14:textId="77777777" w:rsidR="001E7031" w:rsidRDefault="00A936E5">
      <w:pPr>
        <w:pStyle w:val="a3"/>
        <w:snapToGrid/>
        <w:spacing w:line="460" w:lineRule="exact"/>
        <w:ind w:left="142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</w:t>
      </w:r>
      <w:r>
        <w:rPr>
          <w:rFonts w:ascii="標楷體" w:hAnsi="標楷體"/>
          <w:sz w:val="28"/>
          <w:szCs w:val="28"/>
        </w:rPr>
        <w:t>（一）性別工作平等業務之提供諮詢及指導規劃事項。</w:t>
      </w:r>
    </w:p>
    <w:p w14:paraId="02F760B5" w14:textId="77777777" w:rsidR="001E7031" w:rsidRDefault="00A936E5">
      <w:pPr>
        <w:spacing w:line="4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（二）性別工作平等觀念宣導及推動事宜。</w:t>
      </w:r>
    </w:p>
    <w:p w14:paraId="6745B660" w14:textId="77777777" w:rsidR="001E7031" w:rsidRDefault="00A936E5">
      <w:pPr>
        <w:spacing w:line="4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（三）落實現職人員之性別主流化訓練事宜。</w:t>
      </w:r>
    </w:p>
    <w:p w14:paraId="78726AAC" w14:textId="77777777" w:rsidR="001E7031" w:rsidRDefault="00A936E5">
      <w:pPr>
        <w:spacing w:line="4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（四）其他性別工作平等促進事宜。</w:t>
      </w:r>
    </w:p>
    <w:p w14:paraId="58734B9C" w14:textId="77777777" w:rsidR="001E7031" w:rsidRDefault="00A936E5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本小組置委員九人，其中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人為召集人，由本局副局長兼任之，其餘委員由局長就本局及所屬機關人員中指定；本小組成員任一性別比例不得低於全體委員人數三分之一。</w:t>
      </w:r>
    </w:p>
    <w:p w14:paraId="5A2874B7" w14:textId="77777777" w:rsidR="001E7031" w:rsidRDefault="00A936E5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本小組每半年至少開會一次，必要時，得召開臨時會議，</w:t>
      </w:r>
      <w:proofErr w:type="gramStart"/>
      <w:r>
        <w:rPr>
          <w:rFonts w:ascii="標楷體" w:eastAsia="標楷體" w:hAnsi="標楷體"/>
          <w:sz w:val="28"/>
          <w:szCs w:val="28"/>
        </w:rPr>
        <w:t>均由召集人</w:t>
      </w:r>
      <w:proofErr w:type="gramEnd"/>
      <w:r>
        <w:rPr>
          <w:rFonts w:ascii="標楷體" w:eastAsia="標楷體" w:hAnsi="標楷體"/>
          <w:sz w:val="28"/>
          <w:szCs w:val="28"/>
        </w:rPr>
        <w:t>召集之；召集人因故不能召集時，得指定委員一人代理之。</w:t>
      </w:r>
    </w:p>
    <w:p w14:paraId="5D127089" w14:textId="77777777" w:rsidR="001E7031" w:rsidRDefault="00A936E5">
      <w:pPr>
        <w:spacing w:line="460" w:lineRule="exact"/>
        <w:ind w:left="709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本小組應有全體委員過半數以上出席，始得開會；出席委員過半數之同意，始得決議。出席委員可否意見同數時，由主席決定。</w:t>
      </w:r>
    </w:p>
    <w:p w14:paraId="277432BB" w14:textId="77777777" w:rsidR="001E7031" w:rsidRDefault="00A936E5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本小組委員任期一年，任期屆滿得續聘任之，任期內出缺時，由同一性別委員繼任至原任期屆滿之日止。委員及</w:t>
      </w:r>
      <w:proofErr w:type="gramStart"/>
      <w:r>
        <w:rPr>
          <w:rFonts w:ascii="標楷體" w:eastAsia="標楷體" w:hAnsi="標楷體"/>
          <w:sz w:val="28"/>
          <w:szCs w:val="28"/>
        </w:rPr>
        <w:t>工作人員均為無</w:t>
      </w:r>
      <w:proofErr w:type="gramEnd"/>
      <w:r>
        <w:rPr>
          <w:rFonts w:ascii="標楷體" w:eastAsia="標楷體" w:hAnsi="標楷體"/>
          <w:sz w:val="28"/>
          <w:szCs w:val="28"/>
        </w:rPr>
        <w:t>給職。</w:t>
      </w:r>
    </w:p>
    <w:p w14:paraId="2FCAE62F" w14:textId="77777777" w:rsidR="001E7031" w:rsidRDefault="00A936E5">
      <w:pPr>
        <w:spacing w:line="460" w:lineRule="exact"/>
        <w:ind w:left="706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本小組開會時，得視議題需要，邀請相關機關代表或學者、專家列席。非本局及所屬機關委員出席會議時，得依規定支領出席費。</w:t>
      </w:r>
    </w:p>
    <w:p w14:paraId="15ED6009" w14:textId="77777777" w:rsidR="001E7031" w:rsidRDefault="00A936E5">
      <w:pPr>
        <w:spacing w:line="460" w:lineRule="exact"/>
        <w:ind w:left="708" w:hanging="708"/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本小組所需經費，由本局及所屬機關相關預算項下支應。</w:t>
      </w:r>
    </w:p>
    <w:sectPr w:rsidR="001E7031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7E55" w14:textId="77777777" w:rsidR="00A936E5" w:rsidRDefault="00A936E5">
      <w:r>
        <w:separator/>
      </w:r>
    </w:p>
  </w:endnote>
  <w:endnote w:type="continuationSeparator" w:id="0">
    <w:p w14:paraId="25703A1B" w14:textId="77777777" w:rsidR="00A936E5" w:rsidRDefault="00A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E31E" w14:textId="77777777" w:rsidR="00A936E5" w:rsidRDefault="00A936E5">
      <w:r>
        <w:rPr>
          <w:color w:val="000000"/>
        </w:rPr>
        <w:separator/>
      </w:r>
    </w:p>
  </w:footnote>
  <w:footnote w:type="continuationSeparator" w:id="0">
    <w:p w14:paraId="0A833718" w14:textId="77777777" w:rsidR="00A936E5" w:rsidRDefault="00A9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65"/>
    <w:multiLevelType w:val="multilevel"/>
    <w:tmpl w:val="0CAC9E24"/>
    <w:styleLink w:val="WWOutlineListStyle1"/>
    <w:lvl w:ilvl="0">
      <w:start w:val="1"/>
      <w:numFmt w:val="taiwaneseCountingThousand"/>
      <w:lvlText w:val="%1、"/>
      <w:lvlJc w:val="left"/>
    </w:lvl>
    <w:lvl w:ilvl="1">
      <w:start w:val="1"/>
      <w:numFmt w:val="decimal"/>
      <w:lvlText w:val="%2．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2EE650A"/>
    <w:multiLevelType w:val="multilevel"/>
    <w:tmpl w:val="134829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825EA"/>
    <w:multiLevelType w:val="multilevel"/>
    <w:tmpl w:val="6EDA3AB8"/>
    <w:styleLink w:val="WWOutlineListStyle"/>
    <w:lvl w:ilvl="0">
      <w:start w:val="1"/>
      <w:numFmt w:val="taiwaneseCountingThousand"/>
      <w:lvlText w:val="%1、"/>
      <w:lvlJc w:val="left"/>
    </w:lvl>
    <w:lvl w:ilvl="1">
      <w:start w:val="1"/>
      <w:numFmt w:val="decimal"/>
      <w:lvlText w:val="%2．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77E705A"/>
    <w:multiLevelType w:val="multilevel"/>
    <w:tmpl w:val="E6FA9678"/>
    <w:styleLink w:val="WWOutlineListStyle2"/>
    <w:lvl w:ilvl="0">
      <w:start w:val="1"/>
      <w:numFmt w:val="taiwaneseCountingThousand"/>
      <w:pStyle w:val="1"/>
      <w:lvlText w:val="%1、"/>
      <w:lvlJc w:val="left"/>
    </w:lvl>
    <w:lvl w:ilvl="1">
      <w:start w:val="1"/>
      <w:numFmt w:val="decimal"/>
      <w:pStyle w:val="2"/>
      <w:lvlText w:val="%2．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7031"/>
    <w:rsid w:val="001E7031"/>
    <w:rsid w:val="003F38B3"/>
    <w:rsid w:val="00A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8B1D"/>
  <w15:docId w15:val="{45651468-AE8B-43D9-8A7A-52A3B953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next w:val="a"/>
    <w:uiPriority w:val="9"/>
    <w:qFormat/>
    <w:pPr>
      <w:keepNext/>
      <w:numPr>
        <w:numId w:val="1"/>
      </w:numPr>
      <w:suppressAutoHyphens/>
      <w:outlineLvl w:val="0"/>
    </w:pPr>
    <w:rPr>
      <w:rFonts w:ascii="Arial" w:eastAsia="標楷體" w:hAnsi="Arial"/>
      <w:b/>
      <w:bCs/>
      <w:color w:val="993366"/>
      <w:kern w:val="3"/>
      <w:sz w:val="32"/>
      <w:szCs w:val="52"/>
    </w:rPr>
  </w:style>
  <w:style w:type="paragraph" w:styleId="2">
    <w:name w:val="heading 2"/>
    <w:next w:val="a"/>
    <w:uiPriority w:val="9"/>
    <w:semiHidden/>
    <w:unhideWhenUsed/>
    <w:qFormat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FF"/>
      <w:sz w:val="26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 w:after="120"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120" w:after="120"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before="120" w:after="120"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pPr>
      <w:keepNext/>
      <w:spacing w:before="120" w:after="120"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pPr>
      <w:keepNext/>
      <w:spacing w:before="120" w:after="120"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pPr>
      <w:keepNext/>
      <w:spacing w:before="120" w:after="120"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character" w:customStyle="1" w:styleId="10">
    <w:name w:val="標題 1 字元"/>
    <w:rPr>
      <w:rFonts w:ascii="Arial" w:eastAsia="標楷體" w:hAnsi="Arial"/>
      <w:b/>
      <w:bCs/>
      <w:color w:val="993366"/>
      <w:kern w:val="3"/>
      <w:sz w:val="32"/>
      <w:szCs w:val="52"/>
      <w:lang w:val="en-US" w:eastAsia="zh-TW" w:bidi="ar-SA"/>
    </w:rPr>
  </w:style>
  <w:style w:type="character" w:customStyle="1" w:styleId="20">
    <w:name w:val="標題 2 字元"/>
    <w:rPr>
      <w:rFonts w:ascii="Arial" w:hAnsi="Arial"/>
      <w:color w:val="0000FF"/>
      <w:sz w:val="26"/>
      <w:szCs w:val="48"/>
      <w:lang w:val="en-US" w:eastAsia="zh-TW" w:bidi="ar-SA"/>
    </w:rPr>
  </w:style>
  <w:style w:type="character" w:customStyle="1" w:styleId="30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0">
    <w:name w:val="標題 4 字元"/>
    <w:rPr>
      <w:rFonts w:ascii="Arial" w:hAnsi="Arial"/>
      <w:kern w:val="3"/>
      <w:sz w:val="36"/>
      <w:szCs w:val="36"/>
    </w:rPr>
  </w:style>
  <w:style w:type="character" w:customStyle="1" w:styleId="50">
    <w:name w:val="標題 5 字元"/>
    <w:rPr>
      <w:rFonts w:ascii="Arial" w:hAnsi="Arial"/>
      <w:b/>
      <w:bCs/>
      <w:kern w:val="3"/>
      <w:sz w:val="36"/>
      <w:szCs w:val="36"/>
    </w:rPr>
  </w:style>
  <w:style w:type="character" w:customStyle="1" w:styleId="60">
    <w:name w:val="標題 6 字元"/>
    <w:rPr>
      <w:rFonts w:ascii="Arial" w:hAnsi="Arial"/>
      <w:kern w:val="3"/>
      <w:sz w:val="36"/>
      <w:szCs w:val="36"/>
    </w:rPr>
  </w:style>
  <w:style w:type="character" w:customStyle="1" w:styleId="70">
    <w:name w:val="標題 7 字元"/>
    <w:rPr>
      <w:rFonts w:ascii="Arial" w:hAnsi="Arial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hAnsi="Arial"/>
      <w:kern w:val="3"/>
      <w:sz w:val="36"/>
      <w:szCs w:val="36"/>
    </w:rPr>
  </w:style>
  <w:style w:type="character" w:customStyle="1" w:styleId="90">
    <w:name w:val="標題 9 字元"/>
    <w:rPr>
      <w:rFonts w:ascii="Arial" w:hAnsi="Arial"/>
      <w:kern w:val="3"/>
      <w:sz w:val="36"/>
      <w:szCs w:val="36"/>
    </w:rPr>
  </w:style>
  <w:style w:type="paragraph" w:customStyle="1" w:styleId="a3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lastModifiedBy>黃景徽</cp:lastModifiedBy>
  <cp:revision>2</cp:revision>
  <cp:lastPrinted>2021-08-12T09:31:00Z</cp:lastPrinted>
  <dcterms:created xsi:type="dcterms:W3CDTF">2021-08-12T09:31:00Z</dcterms:created>
  <dcterms:modified xsi:type="dcterms:W3CDTF">2021-08-12T09:31:00Z</dcterms:modified>
</cp:coreProperties>
</file>